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AF42F" w14:textId="036E1C09" w:rsidR="00605EBD" w:rsidRDefault="00605EBD" w:rsidP="00605EBD">
      <w:pPr>
        <w:spacing w:after="0" w:line="240" w:lineRule="auto"/>
        <w:rPr>
          <w:rFonts w:ascii="Times New Roman" w:hAnsi="Times New Roman" w:cs="Times New Roman"/>
          <w:b/>
          <w:color w:val="000000" w:themeColor="text1"/>
          <w:sz w:val="24"/>
          <w:szCs w:val="24"/>
          <w:shd w:val="clear" w:color="auto" w:fill="FFFFFF"/>
        </w:rPr>
      </w:pPr>
      <w:bookmarkStart w:id="0" w:name="_Hlk199592154"/>
      <w:r w:rsidRPr="00450D34">
        <w:rPr>
          <w:rFonts w:ascii="Times New Roman" w:hAnsi="Times New Roman" w:cs="Times New Roman"/>
          <w:b/>
          <w:color w:val="000000" w:themeColor="text1"/>
          <w:sz w:val="24"/>
          <w:szCs w:val="24"/>
          <w:shd w:val="clear" w:color="auto" w:fill="FFFFFF"/>
        </w:rPr>
        <w:t>Multi-Targets Neuroprotective Mechanisms of Phenolic Compounds from Antiaris Africana against Parkinson's Disease</w:t>
      </w:r>
    </w:p>
    <w:p w14:paraId="2EF688FD" w14:textId="77777777" w:rsidR="00605EBD" w:rsidRPr="009E1888" w:rsidRDefault="00605EBD" w:rsidP="00605EBD">
      <w:pPr>
        <w:spacing w:after="0" w:line="240" w:lineRule="auto"/>
        <w:jc w:val="both"/>
        <w:rPr>
          <w:rFonts w:ascii="Times New Roman" w:hAnsi="Times New Roman" w:cs="Times New Roman"/>
          <w:sz w:val="24"/>
          <w:szCs w:val="24"/>
          <w:vertAlign w:val="superscript"/>
        </w:rPr>
      </w:pPr>
      <w:bookmarkStart w:id="1" w:name="_Hlk203681276"/>
      <w:r w:rsidRPr="009E1888">
        <w:rPr>
          <w:rFonts w:ascii="Times New Roman" w:hAnsi="Times New Roman" w:cs="Times New Roman"/>
          <w:sz w:val="24"/>
          <w:szCs w:val="24"/>
        </w:rPr>
        <w:t>Bright Kwaku Anyomi</w:t>
      </w:r>
      <w:bookmarkEnd w:id="1"/>
      <w:r w:rsidRPr="009E1888">
        <w:rPr>
          <w:rFonts w:ascii="Times New Roman" w:hAnsi="Times New Roman" w:cs="Times New Roman"/>
          <w:sz w:val="24"/>
          <w:szCs w:val="24"/>
          <w:vertAlign w:val="superscript"/>
        </w:rPr>
        <w:t>1</w:t>
      </w:r>
      <w:r w:rsidRPr="009E1888">
        <w:rPr>
          <w:rFonts w:ascii="Times New Roman" w:hAnsi="Times New Roman" w:cs="Times New Roman"/>
          <w:sz w:val="24"/>
          <w:szCs w:val="24"/>
        </w:rPr>
        <w:t>, Kwadwo Fosu</w:t>
      </w:r>
      <w:r w:rsidRPr="009E1888">
        <w:rPr>
          <w:rFonts w:ascii="Times New Roman" w:hAnsi="Times New Roman" w:cs="Times New Roman"/>
          <w:sz w:val="24"/>
          <w:szCs w:val="24"/>
          <w:vertAlign w:val="superscript"/>
        </w:rPr>
        <w:t>2,3,</w:t>
      </w:r>
      <w:r w:rsidRPr="009E1888">
        <w:rPr>
          <w:rFonts w:ascii="Times New Roman" w:hAnsi="Times New Roman" w:cs="Times New Roman"/>
          <w:sz w:val="24"/>
          <w:szCs w:val="24"/>
        </w:rPr>
        <w:t>, Jutsum Nii Kotei Amon</w:t>
      </w:r>
      <w:r w:rsidRPr="009E1888">
        <w:rPr>
          <w:rFonts w:ascii="Times New Roman" w:hAnsi="Times New Roman" w:cs="Times New Roman"/>
          <w:sz w:val="24"/>
          <w:szCs w:val="24"/>
          <w:vertAlign w:val="superscript"/>
        </w:rPr>
        <w:t>2,3</w:t>
      </w:r>
      <w:r w:rsidRPr="009E1888">
        <w:rPr>
          <w:rFonts w:ascii="Times New Roman" w:hAnsi="Times New Roman" w:cs="Times New Roman"/>
          <w:sz w:val="24"/>
          <w:szCs w:val="24"/>
        </w:rPr>
        <w:t>,</w:t>
      </w:r>
      <w:r w:rsidRPr="00852DDC">
        <w:t xml:space="preserve"> </w:t>
      </w:r>
      <w:r w:rsidRPr="00852DDC">
        <w:rPr>
          <w:rFonts w:ascii="Times New Roman" w:hAnsi="Times New Roman" w:cs="Times New Roman"/>
          <w:sz w:val="24"/>
          <w:szCs w:val="24"/>
        </w:rPr>
        <w:t>Benjamin Aboagye</w:t>
      </w:r>
      <w:r w:rsidRPr="00852DDC">
        <w:rPr>
          <w:rFonts w:ascii="Times New Roman" w:hAnsi="Times New Roman" w:cs="Times New Roman"/>
          <w:sz w:val="24"/>
          <w:szCs w:val="24"/>
          <w:vertAlign w:val="superscript"/>
        </w:rPr>
        <w:t>6</w:t>
      </w:r>
      <w:r>
        <w:rPr>
          <w:rFonts w:ascii="Times New Roman" w:hAnsi="Times New Roman" w:cs="Times New Roman"/>
          <w:sz w:val="24"/>
          <w:szCs w:val="24"/>
        </w:rPr>
        <w:t xml:space="preserve">, </w:t>
      </w:r>
      <w:r w:rsidRPr="00852DDC">
        <w:rPr>
          <w:rFonts w:ascii="Times New Roman" w:hAnsi="Times New Roman" w:cs="Times New Roman"/>
          <w:sz w:val="24"/>
          <w:szCs w:val="24"/>
        </w:rPr>
        <w:t>Pilani Nkomozepi</w:t>
      </w:r>
      <w:r>
        <w:rPr>
          <w:rFonts w:ascii="Times New Roman" w:hAnsi="Times New Roman" w:cs="Times New Roman"/>
          <w:sz w:val="24"/>
          <w:szCs w:val="24"/>
          <w:vertAlign w:val="superscript"/>
        </w:rPr>
        <w:t>7</w:t>
      </w:r>
      <w:r>
        <w:rPr>
          <w:rFonts w:ascii="Times New Roman" w:hAnsi="Times New Roman" w:cs="Times New Roman"/>
          <w:sz w:val="24"/>
          <w:szCs w:val="24"/>
        </w:rPr>
        <w:t>, Jianshe</w:t>
      </w:r>
      <w:r w:rsidRPr="009E1888">
        <w:rPr>
          <w:rFonts w:ascii="Times New Roman" w:hAnsi="Times New Roman" w:cs="Times New Roman"/>
          <w:sz w:val="24"/>
          <w:szCs w:val="24"/>
        </w:rPr>
        <w:t xml:space="preserve"> Wei</w:t>
      </w:r>
      <w:r w:rsidRPr="009E1888">
        <w:rPr>
          <w:rFonts w:ascii="Times New Roman" w:hAnsi="Times New Roman" w:cs="Times New Roman"/>
          <w:sz w:val="24"/>
          <w:szCs w:val="24"/>
          <w:vertAlign w:val="superscript"/>
        </w:rPr>
        <w:t>1</w:t>
      </w:r>
      <w:r w:rsidRPr="009E1888">
        <w:rPr>
          <w:rFonts w:ascii="Times New Roman" w:hAnsi="Times New Roman" w:cs="Times New Roman"/>
          <w:sz w:val="24"/>
          <w:szCs w:val="24"/>
        </w:rPr>
        <w:t>*</w:t>
      </w:r>
    </w:p>
    <w:p w14:paraId="42F22A8D" w14:textId="77777777" w:rsidR="00605EBD" w:rsidRPr="009E1888" w:rsidRDefault="00605EBD" w:rsidP="00605EBD">
      <w:pPr>
        <w:spacing w:after="0" w:line="240" w:lineRule="auto"/>
        <w:jc w:val="both"/>
        <w:rPr>
          <w:rFonts w:ascii="Times New Roman" w:hAnsi="Times New Roman" w:cs="Times New Roman"/>
          <w:sz w:val="24"/>
          <w:szCs w:val="24"/>
        </w:rPr>
      </w:pPr>
    </w:p>
    <w:p w14:paraId="5F57387D" w14:textId="77777777" w:rsidR="00605EBD" w:rsidRPr="009E1888" w:rsidRDefault="00605EBD" w:rsidP="00605EBD">
      <w:pPr>
        <w:spacing w:after="0" w:line="24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1</w:t>
      </w:r>
      <w:r w:rsidRPr="009E1888">
        <w:rPr>
          <w:rFonts w:ascii="Times New Roman" w:hAnsi="Times New Roman" w:cs="Times New Roman"/>
          <w:sz w:val="24"/>
          <w:szCs w:val="24"/>
        </w:rPr>
        <w:t>Institute for Brain Sciences Research, School of Life Sciences, Henan University, Kaifeng</w:t>
      </w:r>
      <w:r>
        <w:rPr>
          <w:rFonts w:ascii="Times New Roman" w:hAnsi="Times New Roman" w:cs="Times New Roman"/>
          <w:sz w:val="24"/>
          <w:szCs w:val="24"/>
        </w:rPr>
        <w:t xml:space="preserve"> 475004</w:t>
      </w:r>
      <w:r w:rsidRPr="009E1888">
        <w:rPr>
          <w:rFonts w:ascii="Times New Roman" w:hAnsi="Times New Roman" w:cs="Times New Roman"/>
          <w:sz w:val="24"/>
          <w:szCs w:val="24"/>
        </w:rPr>
        <w:t>, China.</w:t>
      </w:r>
    </w:p>
    <w:p w14:paraId="301F0860" w14:textId="77777777" w:rsidR="00605EBD" w:rsidRPr="009E1888" w:rsidRDefault="00605EBD" w:rsidP="00605EBD">
      <w:pPr>
        <w:spacing w:after="0" w:line="24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2</w:t>
      </w:r>
      <w:r w:rsidRPr="009E1888">
        <w:rPr>
          <w:rFonts w:ascii="Times New Roman" w:hAnsi="Times New Roman" w:cs="Times New Roman"/>
          <w:sz w:val="24"/>
          <w:szCs w:val="24"/>
        </w:rPr>
        <w:t>West African Centre for Cell Biology of Infectious Pathogens (WACCBIP), University of Ghana</w:t>
      </w:r>
      <w:r>
        <w:rPr>
          <w:rFonts w:ascii="Times New Roman" w:hAnsi="Times New Roman" w:cs="Times New Roman"/>
          <w:sz w:val="24"/>
          <w:szCs w:val="24"/>
        </w:rPr>
        <w:t>,Accra,Ghana</w:t>
      </w:r>
    </w:p>
    <w:p w14:paraId="3191131B" w14:textId="77777777" w:rsidR="00605EBD" w:rsidRPr="009E1888" w:rsidRDefault="00605EBD" w:rsidP="00605EBD">
      <w:pPr>
        <w:spacing w:after="0" w:line="24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3</w:t>
      </w:r>
      <w:r w:rsidRPr="009E1888">
        <w:rPr>
          <w:rFonts w:ascii="Times New Roman" w:hAnsi="Times New Roman" w:cs="Times New Roman"/>
          <w:sz w:val="24"/>
          <w:szCs w:val="24"/>
        </w:rPr>
        <w:t>Department of Biochemistry, Cell and Molecular Biology, University of Ghana</w:t>
      </w:r>
      <w:r>
        <w:rPr>
          <w:rFonts w:ascii="Times New Roman" w:hAnsi="Times New Roman" w:cs="Times New Roman"/>
          <w:sz w:val="24"/>
          <w:szCs w:val="24"/>
        </w:rPr>
        <w:t>,Accra,Ghana</w:t>
      </w:r>
    </w:p>
    <w:p w14:paraId="2596D08C" w14:textId="77777777" w:rsidR="00605EBD" w:rsidRPr="009E1888" w:rsidRDefault="00605EBD" w:rsidP="00605EBD">
      <w:pPr>
        <w:spacing w:after="0" w:line="24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4</w:t>
      </w:r>
      <w:r w:rsidRPr="009E1888">
        <w:rPr>
          <w:rFonts w:ascii="Times New Roman" w:hAnsi="Times New Roman" w:cs="Times New Roman"/>
          <w:sz w:val="24"/>
          <w:szCs w:val="24"/>
        </w:rPr>
        <w:t>Department of Biological Sciences, Dar es Salaam University College of Education, Dar es Salaam,</w:t>
      </w:r>
      <w:r>
        <w:rPr>
          <w:rFonts w:ascii="Times New Roman" w:hAnsi="Times New Roman" w:cs="Times New Roman"/>
          <w:sz w:val="24"/>
          <w:szCs w:val="24"/>
        </w:rPr>
        <w:t>16103,</w:t>
      </w:r>
      <w:r w:rsidRPr="009E1888">
        <w:rPr>
          <w:rFonts w:ascii="Times New Roman" w:hAnsi="Times New Roman" w:cs="Times New Roman"/>
          <w:sz w:val="24"/>
          <w:szCs w:val="24"/>
        </w:rPr>
        <w:t xml:space="preserve"> Tanzania.</w:t>
      </w:r>
    </w:p>
    <w:p w14:paraId="25CB4741" w14:textId="77777777" w:rsidR="00605EBD" w:rsidRDefault="00605EBD" w:rsidP="00605EBD">
      <w:pPr>
        <w:spacing w:after="0" w:line="24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5</w:t>
      </w:r>
      <w:r w:rsidRPr="009E1888">
        <w:rPr>
          <w:rFonts w:ascii="Times New Roman" w:hAnsi="Times New Roman" w:cs="Times New Roman"/>
          <w:sz w:val="24"/>
          <w:szCs w:val="24"/>
        </w:rPr>
        <w:t>Centre for Plant Medicine Research, Phytochemistry Department, Mampong-Akuapem,</w:t>
      </w:r>
      <w:r>
        <w:rPr>
          <w:rFonts w:ascii="Times New Roman" w:hAnsi="Times New Roman" w:cs="Times New Roman"/>
          <w:sz w:val="24"/>
          <w:szCs w:val="24"/>
        </w:rPr>
        <w:t>ER Mampong,</w:t>
      </w:r>
      <w:r w:rsidRPr="009E1888">
        <w:rPr>
          <w:rFonts w:ascii="Times New Roman" w:hAnsi="Times New Roman" w:cs="Times New Roman"/>
          <w:sz w:val="24"/>
          <w:szCs w:val="24"/>
        </w:rPr>
        <w:t xml:space="preserve"> Ghana.</w:t>
      </w:r>
    </w:p>
    <w:p w14:paraId="02794B87" w14:textId="77777777" w:rsidR="00605EBD" w:rsidRPr="009E1888" w:rsidRDefault="00605EBD" w:rsidP="00605EBD">
      <w:pPr>
        <w:spacing w:after="0" w:line="240" w:lineRule="auto"/>
        <w:jc w:val="both"/>
        <w:rPr>
          <w:rFonts w:ascii="Times New Roman" w:hAnsi="Times New Roman" w:cs="Times New Roman"/>
          <w:sz w:val="24"/>
          <w:szCs w:val="24"/>
        </w:rPr>
      </w:pPr>
      <w:r w:rsidRPr="00852DDC">
        <w:rPr>
          <w:rFonts w:ascii="Times New Roman" w:hAnsi="Times New Roman" w:cs="Times New Roman"/>
          <w:sz w:val="24"/>
          <w:szCs w:val="24"/>
          <w:vertAlign w:val="superscript"/>
        </w:rPr>
        <w:t>6</w:t>
      </w:r>
      <w:r w:rsidRPr="00852DDC">
        <w:rPr>
          <w:rFonts w:ascii="Times New Roman" w:hAnsi="Times New Roman" w:cs="Times New Roman"/>
          <w:sz w:val="24"/>
          <w:szCs w:val="24"/>
        </w:rPr>
        <w:t>Department of Forensic Sciences, School of Biological Sciences, University of Cape Coast, Cape Coast, Ghana.</w:t>
      </w:r>
    </w:p>
    <w:p w14:paraId="02533564" w14:textId="77777777" w:rsidR="00605EBD" w:rsidRPr="009E1888" w:rsidRDefault="00605EBD" w:rsidP="00605EBD">
      <w:pPr>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7</w:t>
      </w:r>
      <w:r w:rsidRPr="00852DDC">
        <w:rPr>
          <w:rFonts w:ascii="Times New Roman" w:hAnsi="Times New Roman" w:cs="Times New Roman"/>
          <w:sz w:val="24"/>
          <w:szCs w:val="24"/>
        </w:rPr>
        <w:t xml:space="preserve">Department of Human Anatomy and Physiology, University of Johannesburg,Johannesburg </w:t>
      </w:r>
      <w:r>
        <w:rPr>
          <w:rFonts w:ascii="Times New Roman" w:hAnsi="Times New Roman" w:cs="Times New Roman"/>
          <w:sz w:val="24"/>
          <w:szCs w:val="24"/>
        </w:rPr>
        <w:t>,</w:t>
      </w:r>
      <w:r w:rsidRPr="00852DDC">
        <w:rPr>
          <w:rFonts w:ascii="Times New Roman" w:hAnsi="Times New Roman" w:cs="Times New Roman"/>
          <w:sz w:val="24"/>
          <w:szCs w:val="24"/>
        </w:rPr>
        <w:t>South Africa</w:t>
      </w:r>
    </w:p>
    <w:p w14:paraId="4D33EB69" w14:textId="77777777" w:rsidR="00605EBD" w:rsidRDefault="00605EBD" w:rsidP="00605EBD">
      <w:pPr>
        <w:spacing w:after="0" w:line="240" w:lineRule="auto"/>
        <w:jc w:val="both"/>
        <w:rPr>
          <w:rFonts w:ascii="Times New Roman" w:hAnsi="Times New Roman" w:cs="Times New Roman"/>
          <w:sz w:val="24"/>
          <w:szCs w:val="24"/>
        </w:rPr>
      </w:pPr>
    </w:p>
    <w:p w14:paraId="5BDB00D1"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 xml:space="preserve">*Correspondence: Jianshe Wei; jswei@henu.edu.cn </w:t>
      </w:r>
    </w:p>
    <w:bookmarkEnd w:id="0"/>
    <w:p w14:paraId="7BBB36C7"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rPr>
      </w:pPr>
    </w:p>
    <w:p w14:paraId="58315CDD" w14:textId="77777777" w:rsidR="00605EBD" w:rsidRPr="00362AE7" w:rsidRDefault="00605EBD" w:rsidP="00605EBD">
      <w:pPr>
        <w:spacing w:after="0" w:line="240" w:lineRule="auto"/>
        <w:jc w:val="both"/>
        <w:rPr>
          <w:rFonts w:ascii="Times New Roman" w:hAnsi="Times New Roman" w:cs="Times New Roman"/>
          <w:b/>
          <w:color w:val="000000" w:themeColor="text1"/>
          <w:sz w:val="24"/>
          <w:szCs w:val="24"/>
        </w:rPr>
      </w:pPr>
      <w:r w:rsidRPr="009E1888">
        <w:rPr>
          <w:rFonts w:ascii="Times New Roman" w:hAnsi="Times New Roman" w:cs="Times New Roman"/>
          <w:b/>
          <w:color w:val="000000" w:themeColor="text1"/>
          <w:sz w:val="24"/>
          <w:szCs w:val="24"/>
        </w:rPr>
        <w:t>Abstract</w:t>
      </w:r>
    </w:p>
    <w:p w14:paraId="78C46BC4" w14:textId="77777777" w:rsidR="00605EBD" w:rsidRPr="00335EB1" w:rsidRDefault="00605EBD" w:rsidP="00605EBD">
      <w:pPr>
        <w:spacing w:after="0" w:line="240" w:lineRule="auto"/>
        <w:jc w:val="both"/>
        <w:rPr>
          <w:rFonts w:ascii="Times New Roman" w:hAnsi="Times New Roman" w:cs="Times New Roman"/>
          <w:color w:val="000000" w:themeColor="text1"/>
          <w:sz w:val="24"/>
          <w:szCs w:val="24"/>
        </w:rPr>
      </w:pPr>
      <w:r w:rsidRPr="00335EB1">
        <w:rPr>
          <w:rFonts w:ascii="Times New Roman" w:hAnsi="Times New Roman" w:cs="Times New Roman"/>
          <w:color w:val="000000" w:themeColor="text1"/>
          <w:sz w:val="24"/>
          <w:szCs w:val="24"/>
        </w:rPr>
        <w:t xml:space="preserve">Parkinson's disease (PD) is a neurodegenerative disorder with progressive motor and non-motor symptoms. Conventional treatments mainly manage symptoms, not causes, highlighting the need for new therapies. Natural phytochemicals, particularly phenolic compounds, show potential due to neuroprotective effects. </w:t>
      </w:r>
      <w:r w:rsidRPr="00335EB1">
        <w:rPr>
          <w:rFonts w:ascii="Times New Roman" w:hAnsi="Times New Roman" w:cs="Times New Roman"/>
          <w:i/>
          <w:iCs/>
          <w:color w:val="000000" w:themeColor="text1"/>
          <w:sz w:val="24"/>
          <w:szCs w:val="24"/>
        </w:rPr>
        <w:t>Antiaris africana is</w:t>
      </w:r>
      <w:r w:rsidRPr="00335EB1">
        <w:rPr>
          <w:rFonts w:ascii="Times New Roman" w:hAnsi="Times New Roman" w:cs="Times New Roman"/>
          <w:color w:val="000000" w:themeColor="text1"/>
          <w:sz w:val="24"/>
          <w:szCs w:val="24"/>
        </w:rPr>
        <w:t xml:space="preserve"> used in traditional African medicine for illnesses, including neurodegenerative disorders. However, its neuroprotective mechanism remains unclear. This study integrated network pharmacology, molecular docking, and molecular dynamics simulations to examine the neuroprotective potential of </w:t>
      </w:r>
      <w:r w:rsidRPr="00335EB1">
        <w:rPr>
          <w:rFonts w:ascii="Times New Roman" w:hAnsi="Times New Roman" w:cs="Times New Roman"/>
          <w:i/>
          <w:iCs/>
          <w:color w:val="000000" w:themeColor="text1"/>
          <w:sz w:val="24"/>
          <w:szCs w:val="24"/>
        </w:rPr>
        <w:t>A. africana</w:t>
      </w:r>
      <w:r w:rsidRPr="00335EB1">
        <w:rPr>
          <w:rFonts w:ascii="Times New Roman" w:hAnsi="Times New Roman" w:cs="Times New Roman"/>
          <w:color w:val="000000" w:themeColor="text1"/>
          <w:sz w:val="24"/>
          <w:szCs w:val="24"/>
        </w:rPr>
        <w:t xml:space="preserve"> compounds against PD. Using GeneCards, SwissTargetPrediction, and STITCH databases, 256 Parkinson-related targets intersecting with 11 phytocompounds were identified. Hub genes TP53, EGFR, AKT1, CASP3, ESR1, SRC were enriched in pathways regulating neuroinflammation, apoptosis, and kinase signaling. Molecular docking showed strong interactions between rutin, isoquercitrin, and ellagic acid with multiple targets, with isoquercitrin-AKT1 showing highest binding affinity. Molecular dynamics simulations showed these ligands stabilized proteins, reduced flexibility, compacted conformations, and minimized solvent exposure. Rutin formed persistent hydrogen bonds with EGFR, ESR1, SRC, and TP53, while MMGBSA analysis showed favorable binding energetics, particularly for ESR</w:t>
      </w:r>
      <w:r>
        <w:rPr>
          <w:rFonts w:ascii="Times New Roman" w:hAnsi="Times New Roman" w:cs="Times New Roman"/>
          <w:color w:val="000000" w:themeColor="text1"/>
          <w:sz w:val="24"/>
          <w:szCs w:val="24"/>
        </w:rPr>
        <w:t>-</w:t>
      </w:r>
      <w:r w:rsidRPr="00335EB1">
        <w:rPr>
          <w:rFonts w:ascii="Times New Roman" w:hAnsi="Times New Roman" w:cs="Times New Roman"/>
          <w:color w:val="000000" w:themeColor="text1"/>
          <w:sz w:val="24"/>
          <w:szCs w:val="24"/>
        </w:rPr>
        <w:t>rutin. Principal component analysis and dynamic cross-correlation matrices revealed ligand-induced conformational changes that may promote protective protein states.</w:t>
      </w:r>
      <w:r>
        <w:rPr>
          <w:rFonts w:ascii="Times New Roman" w:hAnsi="Times New Roman" w:cs="Times New Roman"/>
          <w:color w:val="000000" w:themeColor="text1"/>
          <w:sz w:val="24"/>
          <w:szCs w:val="24"/>
        </w:rPr>
        <w:t xml:space="preserve">From this we, </w:t>
      </w:r>
      <w:r w:rsidRPr="00335EB1">
        <w:rPr>
          <w:rFonts w:ascii="Times New Roman" w:hAnsi="Times New Roman" w:cs="Times New Roman"/>
          <w:color w:val="000000" w:themeColor="text1"/>
          <w:sz w:val="24"/>
          <w:szCs w:val="24"/>
        </w:rPr>
        <w:t xml:space="preserve">hypothesize that phenolic compounds in </w:t>
      </w:r>
      <w:r w:rsidRPr="00335EB1">
        <w:rPr>
          <w:rFonts w:ascii="Times New Roman" w:hAnsi="Times New Roman" w:cs="Times New Roman"/>
          <w:i/>
          <w:iCs/>
          <w:color w:val="000000" w:themeColor="text1"/>
          <w:sz w:val="24"/>
          <w:szCs w:val="24"/>
        </w:rPr>
        <w:t>A. africana</w:t>
      </w:r>
      <w:r w:rsidRPr="00335EB1">
        <w:rPr>
          <w:rFonts w:ascii="Times New Roman" w:hAnsi="Times New Roman" w:cs="Times New Roman"/>
          <w:color w:val="000000" w:themeColor="text1"/>
          <w:sz w:val="24"/>
          <w:szCs w:val="24"/>
        </w:rPr>
        <w:t xml:space="preserve"> may confer neuroprotection in PD by stabilizing signaling proteins to modulate apoptosis, neuroinflammation, and proteostasis. While promising, these findings from</w:t>
      </w:r>
      <w:r w:rsidRPr="005A158B">
        <w:rPr>
          <w:rFonts w:ascii="Times New Roman" w:hAnsi="Times New Roman" w:cs="Times New Roman"/>
          <w:i/>
          <w:iCs/>
          <w:color w:val="000000" w:themeColor="text1"/>
          <w:sz w:val="24"/>
          <w:szCs w:val="24"/>
        </w:rPr>
        <w:t xml:space="preserve"> </w:t>
      </w:r>
      <w:r>
        <w:rPr>
          <w:rFonts w:ascii="Times New Roman" w:hAnsi="Times New Roman" w:cs="Times New Roman"/>
          <w:i/>
          <w:iCs/>
          <w:color w:val="000000" w:themeColor="text1"/>
          <w:sz w:val="24"/>
          <w:szCs w:val="24"/>
        </w:rPr>
        <w:t xml:space="preserve">in </w:t>
      </w:r>
      <w:r w:rsidRPr="00335EB1">
        <w:rPr>
          <w:rFonts w:ascii="Times New Roman" w:hAnsi="Times New Roman" w:cs="Times New Roman"/>
          <w:i/>
          <w:iCs/>
          <w:color w:val="000000" w:themeColor="text1"/>
          <w:sz w:val="24"/>
          <w:szCs w:val="24"/>
        </w:rPr>
        <w:t>silico</w:t>
      </w:r>
      <w:r w:rsidRPr="00335EB1">
        <w:rPr>
          <w:rFonts w:ascii="Times New Roman" w:hAnsi="Times New Roman" w:cs="Times New Roman"/>
          <w:color w:val="000000" w:themeColor="text1"/>
          <w:sz w:val="24"/>
          <w:szCs w:val="24"/>
        </w:rPr>
        <w:t xml:space="preserve"> analyses require experimental validation to confirm translational relevance. Nevertheless, this study provides a mechanistic basis for </w:t>
      </w:r>
      <w:r w:rsidRPr="00335EB1">
        <w:rPr>
          <w:rFonts w:ascii="Times New Roman" w:hAnsi="Times New Roman" w:cs="Times New Roman"/>
          <w:i/>
          <w:iCs/>
          <w:color w:val="000000" w:themeColor="text1"/>
          <w:sz w:val="24"/>
          <w:szCs w:val="24"/>
        </w:rPr>
        <w:t>A. africana's</w:t>
      </w:r>
      <w:r w:rsidRPr="00335EB1">
        <w:rPr>
          <w:rFonts w:ascii="Times New Roman" w:hAnsi="Times New Roman" w:cs="Times New Roman"/>
          <w:color w:val="000000" w:themeColor="text1"/>
          <w:sz w:val="24"/>
          <w:szCs w:val="24"/>
        </w:rPr>
        <w:t xml:space="preserve"> neuroprotective role, supporting its exploration as a source of disease-modifying agents for PD.</w:t>
      </w:r>
    </w:p>
    <w:p w14:paraId="2267241C" w14:textId="77777777" w:rsidR="00605EBD" w:rsidRDefault="00605EBD" w:rsidP="00605EBD">
      <w:pPr>
        <w:spacing w:after="0" w:line="240" w:lineRule="auto"/>
        <w:jc w:val="both"/>
        <w:rPr>
          <w:rFonts w:ascii="Times New Roman" w:hAnsi="Times New Roman" w:cs="Times New Roman"/>
          <w:color w:val="000000" w:themeColor="text1"/>
          <w:sz w:val="24"/>
          <w:szCs w:val="24"/>
        </w:rPr>
      </w:pPr>
    </w:p>
    <w:p w14:paraId="69E0FAD8"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p>
    <w:p w14:paraId="770424E7"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i/>
          <w:iCs/>
          <w:color w:val="000000" w:themeColor="text1"/>
          <w:sz w:val="24"/>
          <w:szCs w:val="24"/>
        </w:rPr>
        <w:lastRenderedPageBreak/>
        <w:t xml:space="preserve">Keywords: </w:t>
      </w:r>
      <w:r w:rsidRPr="009E1888">
        <w:rPr>
          <w:rFonts w:ascii="Times New Roman" w:hAnsi="Times New Roman" w:cs="Times New Roman"/>
          <w:color w:val="000000" w:themeColor="text1"/>
          <w:sz w:val="24"/>
          <w:szCs w:val="24"/>
        </w:rPr>
        <w:t>Parkinson’s Disease, Phenolic compound, docking,</w:t>
      </w:r>
      <w:r w:rsidRPr="00E97276">
        <w:rPr>
          <w:rFonts w:ascii="Times New Roman" w:hAnsi="Times New Roman" w:cs="Times New Roman"/>
          <w:color w:val="000000" w:themeColor="text1"/>
          <w:sz w:val="24"/>
          <w:szCs w:val="24"/>
        </w:rPr>
        <w:t xml:space="preserve"> Antiaris</w:t>
      </w:r>
      <w:r w:rsidRPr="009E1888">
        <w:rPr>
          <w:rFonts w:ascii="Times New Roman" w:hAnsi="Times New Roman" w:cs="Times New Roman"/>
          <w:iCs/>
          <w:sz w:val="24"/>
          <w:szCs w:val="24"/>
        </w:rPr>
        <w:t xml:space="preserve"> Africana</w:t>
      </w:r>
      <w:r>
        <w:rPr>
          <w:rFonts w:ascii="Times New Roman" w:hAnsi="Times New Roman" w:cs="Times New Roman"/>
          <w:iCs/>
          <w:sz w:val="24"/>
          <w:szCs w:val="24"/>
        </w:rPr>
        <w:t>,</w:t>
      </w:r>
      <w:r w:rsidRPr="009E1888">
        <w:rPr>
          <w:rFonts w:ascii="Times New Roman" w:hAnsi="Times New Roman" w:cs="Times New Roman"/>
          <w:color w:val="000000" w:themeColor="text1"/>
          <w:sz w:val="24"/>
          <w:szCs w:val="24"/>
        </w:rPr>
        <w:t xml:space="preserve"> EGFR</w:t>
      </w:r>
      <w:r w:rsidRPr="009E1888">
        <w:rPr>
          <w:rFonts w:ascii="Times New Roman" w:hAnsi="Times New Roman" w:cs="Times New Roman"/>
          <w:iCs/>
          <w:sz w:val="24"/>
          <w:szCs w:val="24"/>
        </w:rPr>
        <w:t>,</w:t>
      </w:r>
      <w:r w:rsidRPr="009E1888">
        <w:rPr>
          <w:rFonts w:ascii="Times New Roman" w:hAnsi="Times New Roman" w:cs="Times New Roman"/>
          <w:i/>
          <w:sz w:val="24"/>
          <w:szCs w:val="24"/>
        </w:rPr>
        <w:t xml:space="preserve"> </w:t>
      </w:r>
      <w:r>
        <w:rPr>
          <w:rFonts w:ascii="Times New Roman" w:hAnsi="Times New Roman" w:cs="Times New Roman"/>
          <w:color w:val="000000" w:themeColor="text1"/>
          <w:sz w:val="24"/>
          <w:szCs w:val="24"/>
        </w:rPr>
        <w:t>rutin</w:t>
      </w:r>
    </w:p>
    <w:p w14:paraId="7508BC75"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p>
    <w:p w14:paraId="6B32CF29"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rPr>
      </w:pPr>
      <w:r w:rsidRPr="009E1888">
        <w:rPr>
          <w:rFonts w:ascii="Times New Roman" w:hAnsi="Times New Roman" w:cs="Times New Roman"/>
          <w:b/>
          <w:color w:val="000000" w:themeColor="text1"/>
          <w:sz w:val="24"/>
          <w:szCs w:val="24"/>
        </w:rPr>
        <w:t xml:space="preserve">Introduction </w:t>
      </w:r>
    </w:p>
    <w:p w14:paraId="17423F13"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Parkinson's disease (PD) is a progressive neurodegenerative disorder characterized by distinctive motor and non-motor features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&lt;EndNote&gt;&lt;Cite&gt;&lt;Author&gt;Ye&lt;/Author&gt;&lt;Year&gt;2023&lt;/Year&gt;&lt;RecNum&gt;124&lt;/RecNum&gt;&lt;DisplayText&gt;&lt;style face="superscript"&gt;1&lt;/style&gt;&lt;/DisplayText&gt;&lt;record&gt;&lt;rec-number&gt;124&lt;/rec-number&gt;&lt;foreign-keys&gt;&lt;key app="EN" db-id="df0p2xfske5tetew9t8vxfreatd9we2w259x" timestamp="1719114641"&gt;124&lt;/key&gt;&lt;/foreign-keys&gt;&lt;ref-type name="Journal Article"&gt;17&lt;/ref-type&gt;&lt;contributors&gt;&lt;authors&gt;&lt;author&gt;Ye, Hui&lt;/author&gt;&lt;author&gt;Robak, Laurie A.&lt;/author&gt;&lt;author&gt;Yu, Meigen&lt;/author&gt;&lt;author&gt;Cykowski, Matthew&lt;/author&gt;&lt;author&gt;Shulman, Joshua M.&lt;/author&gt;&lt;/authors&gt;&lt;/contributors&gt;&lt;titles&gt;&lt;title&gt;Genetics and Pathogenesis of Parkinson&amp;apos;s Syndrome&lt;/title&gt;&lt;secondary-title&gt;Annual Review of Pathology: Mechanisms of Disease&lt;/secondary-title&gt;&lt;/titles&gt;&lt;periodical&gt;&lt;full-title&gt;Annual Review of Pathology: Mechanisms of Disease&lt;/full-title&gt;&lt;/periodical&gt;&lt;pages&gt;95-121&lt;/pages&gt;&lt;volume&gt;18&lt;/volume&gt;&lt;number&gt;1&lt;/number&gt;&lt;dates&gt;&lt;year&gt;2023&lt;/year&gt;&lt;/dates&gt;&lt;publisher&gt;Annual Reviews&lt;/publisher&gt;&lt;isbn&gt;1553-4006&lt;/isbn&gt;&lt;urls&gt;&lt;related-urls&gt;&lt;url&gt;https://dx.doi.org/10.1146/annurev-pathmechdis-031521-034145&lt;/url&gt;&lt;/related-urls&gt;&lt;/urls&gt;&lt;electronic-resource-num&gt;10.1146/annurev-pathmechdis-031521-034145&lt;/electronic-resource-num&gt;&lt;/record&gt;&lt;/Cite&gt;&lt;/EndNote&gt;</w:instrText>
      </w:r>
      <w:r w:rsidRPr="009E1888">
        <w:rPr>
          <w:rFonts w:ascii="Times New Roman" w:hAnsi="Times New Roman" w:cs="Times New Roman"/>
          <w:color w:val="000000" w:themeColor="text1"/>
          <w:sz w:val="24"/>
          <w:szCs w:val="24"/>
        </w:rPr>
        <w:fldChar w:fldCharType="separate"/>
      </w:r>
      <w:r w:rsidRPr="006A6A0B">
        <w:rPr>
          <w:rFonts w:ascii="Times New Roman" w:hAnsi="Times New Roman" w:cs="Times New Roman"/>
          <w:noProof/>
          <w:color w:val="000000" w:themeColor="text1"/>
          <w:sz w:val="24"/>
          <w:szCs w:val="24"/>
          <w:vertAlign w:val="superscript"/>
        </w:rPr>
        <w:t>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It is currently the second most prevalent neurological disease globally. According to the World Health Organization, the number of individuals with PD has doubled over the past 25 years, reaching over 8.5 million cases in 2019, with an expected projection of 20 million cases by 2050 </w:t>
      </w: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&lt;EndNote&gt;&lt;Cite&gt;&lt;Author&gt;World Health Organization&lt;/Author&gt;&lt;Year&gt;2024&lt;/Year&gt;&lt;RecNum&gt;212&lt;/RecNum&gt;&lt;DisplayText&gt;&lt;style face="superscript"&gt;2&lt;/style&gt;&lt;/DisplayText&gt;&lt;record&gt;&lt;rec-number&gt;212&lt;/rec-number&gt;&lt;foreign-keys&gt;&lt;key app="EN" db-id="df0p2xfske5tetew9t8vxfreatd9we2w259x" timestamp="1753436861"&gt;212&lt;/key&gt;&lt;/foreign-keys&gt;&lt;ref-type name="Journal Article"&gt;17&lt;/ref-type&gt;&lt;contributors&gt;&lt;authors&gt;&lt;author&gt;World Health Organization,&lt;/author&gt;&lt;/authors&gt;&lt;/contributors&gt;&lt;titles&gt;&lt;title&gt;Pakinson DIsease&lt;/title&gt;&lt;/titles&gt;&lt;dates&gt;&lt;year&gt;2024&lt;/year&gt;&lt;/dates&gt;&lt;urls&gt;&lt;related-urls&gt;&lt;url&gt;https://www.who.int/news-room/fact-sheets/detail/parkinson-disease&lt;/url&gt;&lt;/related-urls&gt;&lt;/urls&gt;&lt;/record&gt;&lt;/Cite&gt;&lt;/EndNote&gt;</w:instrText>
      </w:r>
      <w:r>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2</w:t>
      </w:r>
      <w:r>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The average number of PD cases per 100,000 people between the ages of 40 and 80 is estimated to be approximately 379, with a higher prevalence in males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&lt;EndNote&gt;&lt;Cite&gt;&lt;Author&gt;Pringsheim&lt;/Author&gt;&lt;Year&gt;2014&lt;/Year&gt;&lt;RecNum&gt;154&lt;/RecNum&gt;&lt;DisplayText&gt;&lt;style face="superscript"&gt;3&lt;/style&gt;&lt;/DisplayText&gt;&lt;record&gt;&lt;rec-number&gt;154&lt;/rec-number&gt;&lt;foreign-keys&gt;&lt;key app="EN" db-id="df0p2xfske5tetew9t8vxfreatd9we2w259x" timestamp="1719895320"&gt;154&lt;/key&gt;&lt;/foreign-keys&gt;&lt;ref-type name="Journal Article"&gt;17&lt;/ref-type&gt;&lt;contributors&gt;&lt;authors&gt;&lt;author&gt;Pringsheim, T., Jette, N., Frolkis, A., &amp;amp; Steeves, T. D. L.&lt;/author&gt;&lt;/authors&gt;&lt;/contributors&gt;&lt;titles&gt;&lt;title&gt;The prevalence of Parkinson&amp;apos;s disease: A systematic review and meta-analysis&lt;/title&gt;&lt;/titles&gt;&lt;dates&gt;&lt;year&gt;2014&lt;/year&gt;&lt;/dates&gt;&lt;urls&gt;&lt;/urls&gt;&lt;electronic-resource-num&gt; https://doi.org/10.1002/mds.25945&lt;/electronic-resource-num&gt;&lt;/record&gt;&lt;/Cite&gt;&lt;/EndNote&gt;</w:instrText>
      </w:r>
      <w:r w:rsidRPr="009E1888">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3</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PD is pathologically diagnosed by the presence of Lewy bodies which contains alpha-synuclein aggregates, and the loss of dopaminergic neurons in the midbrain substansia nigra, leading to motor symptoms such as tremor, rigidity, and bradykinesia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&lt;EndNote&gt;&lt;Cite&gt;&lt;Author&gt;Ye&lt;/Author&gt;&lt;Year&gt;2023&lt;/Year&gt;&lt;RecNum&gt;124&lt;/RecNum&gt;&lt;DisplayText&gt;&lt;style face="superscript"&gt;1&lt;/style&gt;&lt;/DisplayText&gt;&lt;record&gt;&lt;rec-number&gt;124&lt;/rec-number&gt;&lt;foreign-keys&gt;&lt;key app="EN" db-id="df0p2xfske5tetew9t8vxfreatd9we2w259x" timestamp="1719114641"&gt;124&lt;/key&gt;&lt;/foreign-keys&gt;&lt;ref-type name="Journal Article"&gt;17&lt;/ref-type&gt;&lt;contributors&gt;&lt;authors&gt;&lt;author&gt;Ye, Hui&lt;/author&gt;&lt;author&gt;Robak, Laurie A.&lt;/author&gt;&lt;author&gt;Yu, Meigen&lt;/author&gt;&lt;author&gt;Cykowski, Matthew&lt;/author&gt;&lt;author&gt;Shulman, Joshua M.&lt;/author&gt;&lt;/authors&gt;&lt;/contributors&gt;&lt;titles&gt;&lt;title&gt;Genetics and Pathogenesis of Parkinson&amp;apos;s Syndrome&lt;/title&gt;&lt;secondary-title&gt;Annual Review of Pathology: Mechanisms of Disease&lt;/secondary-title&gt;&lt;/titles&gt;&lt;periodical&gt;&lt;full-title&gt;Annual Review of Pathology: Mechanisms of Disease&lt;/full-title&gt;&lt;/periodical&gt;&lt;pages&gt;95-121&lt;/pages&gt;&lt;volume&gt;18&lt;/volume&gt;&lt;number&gt;1&lt;/number&gt;&lt;dates&gt;&lt;year&gt;2023&lt;/year&gt;&lt;/dates&gt;&lt;publisher&gt;Annual Reviews&lt;/publisher&gt;&lt;isbn&gt;1553-4006&lt;/isbn&gt;&lt;urls&gt;&lt;related-urls&gt;&lt;url&gt;https://dx.doi.org/10.1146/annurev-pathmechdis-031521-034145&lt;/url&gt;&lt;/related-urls&gt;&lt;/urls&gt;&lt;electronic-resource-num&gt;10.1146/annurev-pathmechdis-031521-034145&lt;/electronic-resource-num&gt;&lt;/record&gt;&lt;/Cite&gt;&lt;/EndNote&gt;</w:instrText>
      </w:r>
      <w:r w:rsidRPr="009E1888">
        <w:rPr>
          <w:rFonts w:ascii="Times New Roman" w:hAnsi="Times New Roman" w:cs="Times New Roman"/>
          <w:color w:val="000000" w:themeColor="text1"/>
          <w:sz w:val="24"/>
          <w:szCs w:val="24"/>
        </w:rPr>
        <w:fldChar w:fldCharType="separate"/>
      </w:r>
      <w:r w:rsidRPr="006A6A0B">
        <w:rPr>
          <w:rFonts w:ascii="Times New Roman" w:hAnsi="Times New Roman" w:cs="Times New Roman"/>
          <w:noProof/>
          <w:color w:val="000000" w:themeColor="text1"/>
          <w:sz w:val="24"/>
          <w:szCs w:val="24"/>
          <w:vertAlign w:val="superscript"/>
        </w:rPr>
        <w:t>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Although the precise cause of Parkinson's disease is still unknown, increasing evidence points to a complex interaction of genetic, environmental, and lifestyle factors in its development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&lt;EndNote&gt;&lt;Cite&gt;&lt;Author&gt;Ye&lt;/Author&gt;&lt;Year&gt;2023&lt;/Year&gt;&lt;RecNum&gt;124&lt;/RecNum&gt;&lt;DisplayText&gt;&lt;style face="superscript"&gt;1&lt;/style&gt;&lt;/DisplayText&gt;&lt;record&gt;&lt;rec-number&gt;124&lt;/rec-number&gt;&lt;foreign-keys&gt;&lt;key app="EN" db-id="df0p2xfske5tetew9t8vxfreatd9we2w259x" timestamp="1719114641"&gt;124&lt;/key&gt;&lt;/foreign-keys&gt;&lt;ref-type name="Journal Article"&gt;17&lt;/ref-type&gt;&lt;contributors&gt;&lt;authors&gt;&lt;author&gt;Ye, Hui&lt;/author&gt;&lt;author&gt;Robak, Laurie A.&lt;/author&gt;&lt;author&gt;Yu, Meigen&lt;/author&gt;&lt;author&gt;Cykowski, Matthew&lt;/author&gt;&lt;author&gt;Shulman, Joshua M.&lt;/author&gt;&lt;/authors&gt;&lt;/contributors&gt;&lt;titles&gt;&lt;title&gt;Genetics and Pathogenesis of Parkinson&amp;apos;s Syndrome&lt;/title&gt;&lt;secondary-title&gt;Annual Review of Pathology: Mechanisms of Disease&lt;/secondary-title&gt;&lt;/titles&gt;&lt;periodical&gt;&lt;full-title&gt;Annual Review of Pathology: Mechanisms of Disease&lt;/full-title&gt;&lt;/periodical&gt;&lt;pages&gt;95-121&lt;/pages&gt;&lt;volume&gt;18&lt;/volume&gt;&lt;number&gt;1&lt;/number&gt;&lt;dates&gt;&lt;year&gt;2023&lt;/year&gt;&lt;/dates&gt;&lt;publisher&gt;Annual Reviews&lt;/publisher&gt;&lt;isbn&gt;1553-4006&lt;/isbn&gt;&lt;urls&gt;&lt;related-urls&gt;&lt;url&gt;https://dx.doi.org/10.1146/annurev-pathmechdis-031521-034145&lt;/url&gt;&lt;/related-urls&gt;&lt;/urls&gt;&lt;electronic-resource-num&gt;10.1146/annurev-pathmechdis-031521-034145&lt;/electronic-resource-num&gt;&lt;/record&gt;&lt;/Cite&gt;&lt;/EndNote&gt;</w:instrText>
      </w:r>
      <w:r w:rsidRPr="009E1888">
        <w:rPr>
          <w:rFonts w:ascii="Times New Roman" w:hAnsi="Times New Roman" w:cs="Times New Roman"/>
          <w:color w:val="000000" w:themeColor="text1"/>
          <w:sz w:val="24"/>
          <w:szCs w:val="24"/>
        </w:rPr>
        <w:fldChar w:fldCharType="separate"/>
      </w:r>
      <w:r w:rsidRPr="006A6A0B">
        <w:rPr>
          <w:rFonts w:ascii="Times New Roman" w:hAnsi="Times New Roman" w:cs="Times New Roman"/>
          <w:noProof/>
          <w:color w:val="000000" w:themeColor="text1"/>
          <w:sz w:val="24"/>
          <w:szCs w:val="24"/>
          <w:vertAlign w:val="superscript"/>
        </w:rPr>
        <w:t>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w:t>
      </w:r>
    </w:p>
    <w:p w14:paraId="637A7406" w14:textId="77777777" w:rsidR="00605EBD" w:rsidRDefault="00605EBD" w:rsidP="00605EBD">
      <w:pPr>
        <w:spacing w:after="0" w:line="240" w:lineRule="auto"/>
        <w:jc w:val="both"/>
        <w:rPr>
          <w:rFonts w:ascii="Times New Roman" w:hAnsi="Times New Roman" w:cs="Times New Roman"/>
          <w:color w:val="000000" w:themeColor="text1"/>
          <w:sz w:val="24"/>
          <w:szCs w:val="24"/>
        </w:rPr>
      </w:pPr>
    </w:p>
    <w:p w14:paraId="6BC1E5E4"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Currently, the available treatment options for PD fail to address the underlying causes of the disease. These treatments merely seem to manage the symptoms associated with PD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&lt;EndNote&gt;&lt;Cite&gt;&lt;Author&gt;Perdigão&lt;/Author&gt;&lt;Year&gt;2023&lt;/Year&gt;&lt;RecNum&gt;156&lt;/RecNum&gt;&lt;DisplayText&gt;&lt;style face="superscript"&gt;4&lt;/style&gt;&lt;/DisplayText&gt;&lt;record&gt;&lt;rec-number&gt;156&lt;/rec-number&gt;&lt;foreign-keys&gt;&lt;key app="EN" db-id="df0p2xfske5tetew9t8vxfreatd9we2w259x" timestamp="1719970228"&gt;156&lt;/key&gt;&lt;/foreign-keys&gt;&lt;ref-type name="Journal Article"&gt;17&lt;/ref-type&gt;&lt;contributors&gt;&lt;authors&gt;&lt;author&gt;Perdigão, José Messias&lt;/author&gt;&lt;author&gt;Teixeira, Bruno José Brito&lt;/author&gt;&lt;author&gt;Baia-Da-Silva, Daiane Claydes&lt;/author&gt;&lt;author&gt;Nascimento, Priscila Cunha&lt;/author&gt;&lt;author&gt;Lima, Rafael Rodrigues&lt;/author&gt;&lt;author&gt;Rogez, Herve&lt;/author&gt;&lt;/authors&gt;&lt;/contributors&gt;&lt;titles&gt;&lt;title&gt;Analysis of phenolic compounds in Parkinson’s disease: a bibliometric assessment of the 100 most cited papers&lt;/title&gt;&lt;secondary-title&gt;Frontiers in Aging Neuroscience&lt;/secondary-title&gt;&lt;/titles&gt;&lt;periodical&gt;&lt;full-title&gt;Frontiers in Aging Neuroscience&lt;/full-title&gt;&lt;/periodical&gt;&lt;volume&gt;15&lt;/volume&gt;&lt;dates&gt;&lt;year&gt;2023&lt;/year&gt;&lt;/dates&gt;&lt;publisher&gt;Frontiers Media SA&lt;/publisher&gt;&lt;isbn&gt;1663-4365&lt;/isbn&gt;&lt;urls&gt;&lt;related-urls&gt;&lt;url&gt;https://dx.doi.org/10.3389/fnagi.2023.1149143&lt;/url&gt;&lt;/related-urls&gt;&lt;/urls&gt;&lt;electronic-resource-num&gt;10.3389/fnagi.2023.1149143&lt;/electronic-resource-num&gt;&lt;/record&gt;&lt;/Cite&gt;&lt;/EndNote&gt;</w:instrText>
      </w:r>
      <w:r w:rsidRPr="009E1888">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4</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Also, severe side effects are related to available chemotherapeutic options, such as L-Dopa and anticholinergics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&lt;EndNote&gt;&lt;Cite&gt;&lt;Author&gt;Bhusal&lt;/Author&gt;&lt;Year&gt;2023&lt;/Year&gt;&lt;RecNum&gt;144&lt;/RecNum&gt;&lt;DisplayText&gt;&lt;style face="superscript"&gt;5&lt;/style&gt;&lt;/DisplayText&gt;&lt;record&gt;&lt;rec-number&gt;144&lt;/rec-number&gt;&lt;foreign-keys&gt;&lt;key app="EN" db-id="df0p2xfske5tetew9t8vxfreatd9we2w259x" timestamp="1719143920"&gt;144&lt;/key&gt;&lt;/foreign-keys&gt;&lt;ref-type name="Journal Article"&gt;17&lt;/ref-type&gt;&lt;contributors&gt;&lt;authors&gt;&lt;author&gt;Bhusal, C. K., Uti, D. E., Mukherjee, D., Alqahtani, T., Alqahtani, S., Bhattacharya, A., &amp;amp; Akash, S.&lt;/author&gt;&lt;/authors&gt;&lt;/contributors&gt;&lt;titles&gt;&lt;title&gt;Unveiling Nature&amp;apos;s potential: Promising natural compounds in Parkinson&amp;apos;s disease management&lt;/title&gt;&lt;/titles&gt;&lt;dates&gt;&lt;year&gt;2023&lt;/year&gt;&lt;/dates&gt;&lt;urls&gt;&lt;/urls&gt;&lt;/record&gt;&lt;/Cite&gt;&lt;/EndNote&gt;</w:instrText>
      </w:r>
      <w:r w:rsidRPr="009E1888">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5</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In recent years, natural phytochemicals have become a promising option for managing Parkinson's disease. Amongst the phytochemicals, phenolic compounds have been most extensively studied for their neuroprotective effects. These bioactive compounds exhibit a range of therapeutic properties, including antioxidant, anti-inflammatory, anti-apoptotic, and anti-aggregation activities, largely mediated through their influence on kinase signaling pathways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&lt;EndNote&gt;&lt;Cite&gt;&lt;Author&gt;Bhusal&lt;/Author&gt;&lt;Year&gt;2023&lt;/Year&gt;&lt;RecNum&gt;144&lt;/RecNum&gt;&lt;DisplayText&gt;&lt;style face="superscript"&gt;5&lt;/style&gt;&lt;/DisplayText&gt;&lt;record&gt;&lt;rec-number&gt;144&lt;/rec-number&gt;&lt;foreign-keys&gt;&lt;key app="EN" db-id="df0p2xfske5tetew9t8vxfreatd9we2w259x" timestamp="1719143920"&gt;144&lt;/key&gt;&lt;/foreign-keys&gt;&lt;ref-type name="Journal Article"&gt;17&lt;/ref-type&gt;&lt;contributors&gt;&lt;authors&gt;&lt;author&gt;Bhusal, C. K., Uti, D. E., Mukherjee, D., Alqahtani, T., Alqahtani, S., Bhattacharya, A., &amp;amp; Akash, S.&lt;/author&gt;&lt;/authors&gt;&lt;/contributors&gt;&lt;titles&gt;&lt;title&gt;Unveiling Nature&amp;apos;s potential: Promising natural compounds in Parkinson&amp;apos;s disease management&lt;/title&gt;&lt;/titles&gt;&lt;dates&gt;&lt;year&gt;2023&lt;/year&gt;&lt;/dates&gt;&lt;urls&gt;&lt;/urls&gt;&lt;/record&gt;&lt;/Cite&gt;&lt;/EndNote&gt;</w:instrText>
      </w:r>
      <w:r w:rsidRPr="009E1888">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5</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Critically, they activate pathways that enhance intracellular antioxidant enzymes, effectively neutralizing free radicals responsible for oxidative damage. These compounds modulate kinase activity by increasing the Bcl/Bax ratio, thereby reducing Caspase-3 activity to prevent neuronal apoptosis. Additionally, they inhibit key kinases in the MAPK signaling pathways, specifically reducing the activity of JNK, ERK, and P38, decreasing the production of downstream proinflammatory mediators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&lt;EndNote&gt;&lt;Cite&gt;&lt;Author&gt;Magalingam&lt;/Author&gt;&lt;Year&gt;2015&lt;/Year&gt;&lt;RecNum&gt;159&lt;/RecNum&gt;&lt;DisplayText&gt;&lt;style face="superscript"&gt;6&lt;/style&gt;&lt;/DisplayText&gt;&lt;record&gt;&lt;rec-number&gt;159&lt;/rec-number&gt;&lt;foreign-keys&gt;&lt;key app="EN" db-id="df0p2xfske5tetew9t8vxfreatd9we2w259x" timestamp="1719975142"&gt;159&lt;/key&gt;&lt;/foreign-keys&gt;&lt;ref-type name="Journal Article"&gt;17&lt;/ref-type&gt;&lt;contributors&gt;&lt;authors&gt;&lt;author&gt;Magalingam, Kasthuri Bai&lt;/author&gt;&lt;author&gt;Radhakrishnan, Ammu Kutty&lt;/author&gt;&lt;author&gt;Haleagrahara, Nagaraja&lt;/author&gt;&lt;/authors&gt;&lt;/contributors&gt;&lt;titles&gt;&lt;title&gt;Protective Mechanisms of Flavonoids in Parkinson’s Disease&lt;/title&gt;&lt;secondary-title&gt;Oxidative Medicine and Cellular Longevity&lt;/secondary-title&gt;&lt;/titles&gt;&lt;periodical&gt;&lt;full-title&gt;Oxidative Medicine and Cellular Longevity&lt;/full-title&gt;&lt;/periodical&gt;&lt;pages&gt;1-14&lt;/pages&gt;&lt;volume&gt;2015&lt;/volume&gt;&lt;dates&gt;&lt;year&gt;2015&lt;/year&gt;&lt;/dates&gt;&lt;publisher&gt;Hindawi Limited&lt;/publisher&gt;&lt;isbn&gt;1942-0900&lt;/isbn&gt;&lt;urls&gt;&lt;related-urls&gt;&lt;url&gt;https://dx.doi.org/10.1155/2015/314560&lt;/url&gt;&lt;/related-urls&gt;&lt;/urls&gt;&lt;electronic-resource-num&gt;10.1155/2015/314560&lt;/electronic-resource-num&gt;&lt;/record&gt;&lt;/Cite&gt;&lt;/EndNote&gt;</w:instrText>
      </w:r>
      <w:r w:rsidRPr="009E1888">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6</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Targeting kinases could serve as a potential therapeutic option for neurodegenerative disorders.</w:t>
      </w:r>
    </w:p>
    <w:p w14:paraId="089D4242" w14:textId="77777777" w:rsidR="00605EBD" w:rsidRDefault="00605EBD" w:rsidP="00605EBD">
      <w:pPr>
        <w:spacing w:after="0" w:line="240" w:lineRule="auto"/>
        <w:jc w:val="both"/>
        <w:rPr>
          <w:rFonts w:ascii="Times New Roman" w:hAnsi="Times New Roman" w:cs="Times New Roman"/>
          <w:i/>
          <w:color w:val="000000" w:themeColor="text1"/>
          <w:sz w:val="24"/>
          <w:szCs w:val="24"/>
        </w:rPr>
      </w:pPr>
    </w:p>
    <w:p w14:paraId="14039D25" w14:textId="150C01B7"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i/>
          <w:color w:val="000000" w:themeColor="text1"/>
          <w:sz w:val="24"/>
          <w:szCs w:val="24"/>
        </w:rPr>
        <w:t>A. africana</w:t>
      </w:r>
      <w:r w:rsidRPr="009E1888">
        <w:rPr>
          <w:rFonts w:ascii="Times New Roman" w:hAnsi="Times New Roman" w:cs="Times New Roman"/>
          <w:color w:val="000000" w:themeColor="text1"/>
          <w:sz w:val="24"/>
          <w:szCs w:val="24"/>
        </w:rPr>
        <w:t xml:space="preserve">, popularly known as the false Iroko tree in Africa, treats many illnesses, including leprosy, diabetes, cancer, respiratory and stomach disorders, mental disorders, and neurodegenerative diseases </w:t>
      </w:r>
      <w:r>
        <w:rPr>
          <w:rFonts w:ascii="Times New Roman" w:hAnsi="Times New Roman" w:cs="Times New Roman"/>
          <w:color w:val="000000" w:themeColor="text1"/>
          <w:sz w:val="24"/>
          <w:szCs w:val="24"/>
        </w:rPr>
        <w:fldChar w:fldCharType="begin">
          <w:fldData xml:space="preserve">PEVuZE5vdGU+PENpdGU+PEF1dGhvcj5BZGV3dW5taTwvQXV0aG9yPjxZZWFyPjIwMTg8L1llYXI+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==
</w:fldData>
        </w:fldChar>
      </w:r>
      <w:r>
        <w:rPr>
          <w:rFonts w:ascii="Times New Roman" w:hAnsi="Times New Roman" w:cs="Times New Roman"/>
          <w:color w:val="000000" w:themeColor="text1"/>
          <w:sz w:val="24"/>
          <w:szCs w:val="24"/>
        </w:rPr>
        <w:instrText xml:space="preserve"> ADDIN EN.CITE </w:instrText>
      </w:r>
      <w:r>
        <w:rPr>
          <w:rFonts w:ascii="Times New Roman" w:hAnsi="Times New Roman" w:cs="Times New Roman"/>
          <w:color w:val="000000" w:themeColor="text1"/>
          <w:sz w:val="24"/>
          <w:szCs w:val="24"/>
        </w:rPr>
        <w:fldChar w:fldCharType="begin">
          <w:fldData xml:space="preserve">PEVuZE5vdGU+PENpdGU+PEF1dGhvcj5BZGV3dW5taTwvQXV0aG9yPjxZZWFyPjIwMTg8L1llYXI+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==
</w:fldData>
        </w:fldChar>
      </w:r>
      <w:r>
        <w:rPr>
          <w:rFonts w:ascii="Times New Roman" w:hAnsi="Times New Roman" w:cs="Times New Roman"/>
          <w:color w:val="000000" w:themeColor="text1"/>
          <w:sz w:val="24"/>
          <w:szCs w:val="24"/>
        </w:rPr>
        <w:instrText xml:space="preserve"> ADDIN EN.CITE.DATA </w:instrTex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7-9</w:t>
      </w:r>
      <w:r>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Despite these documented findings about its remarkable activities, the neuroprotective mechanism remains elusive. Leaf extracts from </w:t>
      </w:r>
      <w:r w:rsidRPr="009E1888">
        <w:rPr>
          <w:rFonts w:ascii="Times New Roman" w:hAnsi="Times New Roman" w:cs="Times New Roman"/>
          <w:i/>
          <w:color w:val="000000" w:themeColor="text1"/>
          <w:sz w:val="24"/>
          <w:szCs w:val="24"/>
        </w:rPr>
        <w:t>A. africana</w:t>
      </w:r>
      <w:r w:rsidRPr="009E1888">
        <w:rPr>
          <w:rFonts w:ascii="Times New Roman" w:hAnsi="Times New Roman" w:cs="Times New Roman"/>
          <w:color w:val="000000" w:themeColor="text1"/>
          <w:sz w:val="24"/>
          <w:szCs w:val="24"/>
        </w:rPr>
        <w:t xml:space="preserve"> contain phenolic compounds with neuroprotective properties </w:t>
      </w:r>
      <w:r w:rsidR="000C3006">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&lt;EndNote&gt;&lt;Cite&gt;&lt;Author&gt;Ilesanmi&lt;/Author&gt;&lt;Year&gt;2022&lt;/Year&gt;&lt;RecNum&gt;163&lt;/RecNum&gt;&lt;DisplayText&gt;&lt;style face="superscript"&gt;8, 10&lt;/style&gt;&lt;/DisplayText&gt;&lt;record&gt;&lt;rec-number&gt;163&lt;/rec-number&gt;&lt;foreign-keys&gt;&lt;key app="EN" db-id="df0p2xfske5tetew9t8vxfreatd9we2w259x" timestamp="1720786263"&gt;163&lt;/key&gt;&lt;/foreign-keys&gt;&lt;ref-type name="Journal Article"&gt;17&lt;/ref-type&gt;&lt;contributors&gt;&lt;authors&gt;&lt;author&gt;Ilesanmi, O. B., Akinmoladun, A. C., Elusiyan, C. A., Ogungbe, I. V., Olugbade, T. A., &amp;amp; Olaleye, M. T. &lt;/author&gt;&lt;/authors&gt;&lt;/contributors&gt;&lt;titles&gt;&lt;title&gt;Neuroprotective flavonoids of the leaf of Antiaris africana Englea against cyanide toxicity&lt;/title&gt;&lt;secondary-title&gt;Journal of Ethnopharmacology&lt;/secondary-title&gt;&lt;/titles&gt;&lt;periodical&gt;&lt;full-title&gt;Journal of Ethnopharmacology&lt;/full-title&gt;&lt;/periodical&gt;&lt;dates&gt;&lt;year&gt;2022&lt;/year&gt;&lt;/dates&gt;&lt;urls&gt;&lt;/urls&gt;&lt;/record&gt;&lt;/Cite&gt;&lt;Cite&gt;&lt;Author&gt;Omotayo&lt;/Author&gt;&lt;Year&gt;2016&lt;/Year&gt;&lt;RecNum&gt;192&lt;/RecNum&gt;&lt;record&gt;&lt;rec-number&gt;192&lt;/rec-number&gt;&lt;foreign-keys&gt;&lt;key app="EN" db-id="df0p2xfske5tetew9t8vxfreatd9we2w259x" timestamp="1752552320"&gt;192&lt;/key&gt;&lt;/foreign-keys&gt;&lt;ref-type name="Journal Article"&gt;17&lt;/ref-type&gt;&lt;contributors&gt;&lt;authors&gt;&lt;author&gt;Omotayo, B. I., Tolulope, M. O., Afolabi, C. A., &amp;amp; Taiwo, T. A. &lt;/author&gt;&lt;/authors&gt;&lt;/contributors&gt;&lt;titles&gt;&lt;title&gt;HPLC quantification of phenolic content and assessment of methanolic extract of Antiaris africana for toxicological study&lt;/title&gt;&lt;secondary-title&gt;. African Journal of Biotechnology&lt;/secondary-title&gt;&lt;/titles&gt;&lt;periodical&gt;&lt;full-title&gt;. African Journal of Biotechnology&lt;/full-title&gt;&lt;/periodical&gt;&lt;pages&gt;320-330&lt;/pages&gt;&lt;volume&gt;15&lt;/volume&gt;&lt;number&gt;9&lt;/number&gt;&lt;dates&gt;&lt;year&gt;2016&lt;/year&gt;&lt;/dates&gt;&lt;urls&gt;&lt;/urls&gt;&lt;electronic-resource-num&gt;https://doi.org/10.5897/ajb2015.14825&lt;/electronic-resource-num&gt;&lt;/record&gt;&lt;/Cite&gt;&lt;/EndNote&gt;</w:instrText>
      </w:r>
      <w:r w:rsidR="000C3006">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8, 10</w:t>
      </w:r>
      <w:r w:rsidR="000C3006">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indicating the need for further research into their specific effects and potential mechanisms in Parkinson's disease. </w:t>
      </w:r>
    </w:p>
    <w:p w14:paraId="69B04CA3" w14:textId="17F51574" w:rsidR="00605EBD"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The drug design and discovery process is an intricate network that focuses on identifying compounds that are therapeutically effective for treatment. Over the last two decades, the major hurdles that have impacted the drug discovery process are the identification of drugs with high efficacy and minimum toxicity, high cost, and time consumption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&lt;EndNote&gt;&lt;Cite&gt;&lt;Author&gt;Gupta&lt;/Author&gt;&lt;Year&gt;2021&lt;/Year&gt;&lt;RecNum&gt;30&lt;/RecNum&gt;&lt;DisplayText&gt;&lt;style face="superscript"&gt;11&lt;/style&gt;&lt;/DisplayText&gt;&lt;record&gt;&lt;rec-number&gt;30&lt;/rec-number&gt;&lt;foreign-keys&gt;&lt;key app="EN" db-id="df0p2xfske5tetew9t8vxfreatd9we2w259x" timestamp="1688896319"&gt;30&lt;/key&gt;&lt;/foreign-keys&gt;&lt;ref-type name="Journal Article"&gt;17&lt;/ref-type&gt;&lt;contributors&gt;&lt;authors&gt;&lt;author&gt;Gupta, Rohan&lt;/author&gt;&lt;author&gt;Srivastava, Devesh&lt;/author&gt;&lt;author&gt;Sahu, Mehar&lt;/author&gt;&lt;author&gt;Tiwari, Swati&lt;/author&gt;&lt;author&gt;Ambasta, Rashmi K.&lt;/author&gt;&lt;author&gt;Kumar, Pravir&lt;/author&gt;&lt;/authors&gt;&lt;/contributors&gt;&lt;titles&gt;&lt;title&gt;Artificial intelligence to deep learning: machine intelligence approach for drug discovery&lt;/title&gt;&lt;secondary-title&gt;Molecular Diversity&lt;/secondary-title&gt;&lt;/titles&gt;&lt;periodical&gt;&lt;full-title&gt;Molecular Diversity&lt;/full-title&gt;&lt;/periodical&gt;&lt;pages&gt;1315-1360&lt;/pages&gt;&lt;volume&gt;25&lt;/volume&gt;&lt;number&gt;3&lt;/number&gt;&lt;dates&gt;&lt;year&gt;2021&lt;/year&gt;&lt;/dates&gt;&lt;publisher&gt;Springer Science and Business Media LLC&lt;/publisher&gt;&lt;isbn&gt;1381-1991&lt;/isbn&gt;&lt;urls&gt;&lt;related-urls&gt;&lt;url&gt;https://dx.doi.org/10.1007/s11030-021-10217-3&lt;/url&gt;&lt;/related-urls&gt;&lt;/urls&gt;&lt;electronic-resource-num&gt;10.1007/s11030-021-10217-3&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11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To maximize efficiency and minimize the hurdles and challenges, researchers are employing computer-aided drug design (CADD). The advancement in technology and the abundance of multiple omics data provide useful information to improve therapy strategies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&lt;EndNote&gt;&lt;Cite&gt;&lt;Author&gt;Gupta&lt;/Author&gt;&lt;Year&gt;2021&lt;/Year&gt;&lt;RecNum&gt;30&lt;/RecNum&gt;&lt;DisplayText&gt;&lt;style face="superscript"&gt;11&lt;/style&gt;&lt;/DisplayText&gt;&lt;record&gt;&lt;rec-number&gt;30&lt;/rec-number&gt;&lt;foreign-keys&gt;&lt;key app="EN" db-id="df0p2xfske5tetew9t8vxfreatd9we2w259x" timestamp="1688896319"&gt;30&lt;/key&gt;&lt;/foreign-keys&gt;&lt;ref-type name="Journal Article"&gt;17&lt;/ref-type&gt;&lt;contributors&gt;&lt;authors&gt;&lt;author&gt;Gupta, Rohan&lt;/author&gt;&lt;author&gt;Srivastava, Devesh&lt;/author&gt;&lt;author&gt;Sahu, Mehar&lt;/author&gt;&lt;author&gt;Tiwari, Swati&lt;/author&gt;&lt;author&gt;Ambasta, Rashmi K.&lt;/author&gt;&lt;author&gt;Kumar, Pravir&lt;/author&gt;&lt;/authors&gt;&lt;/contributors&gt;&lt;titles&gt;&lt;title&gt;Artificial intelligence to deep learning: machine intelligence approach for drug discovery&lt;/title&gt;&lt;secondary-title&gt;Molecular Diversity&lt;/secondary-title&gt;&lt;/titles&gt;&lt;periodical&gt;&lt;full-title&gt;Molecular Diversity&lt;/full-title&gt;&lt;/periodical&gt;&lt;pages&gt;1315-1360&lt;/pages&gt;&lt;volume&gt;25&lt;/volume&gt;&lt;number&gt;3&lt;/number&gt;&lt;dates&gt;&lt;year&gt;2021&lt;/year&gt;&lt;/dates&gt;&lt;publisher&gt;Springer Science and Business Media LLC&lt;/publisher&gt;&lt;isbn&gt;1381-1991&lt;/isbn&gt;&lt;urls&gt;&lt;related-urls&gt;&lt;url&gt;https://dx.doi.org/10.1007/s11030-021-10217-3&lt;/url&gt;&lt;/related-urls&gt;&lt;/urls&gt;&lt;electronic-resource-num&gt;10.1007/s11030-021-10217-3&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11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Through artificial intelligence, algorithms, and deep machine learning, CADD can be used to screen for novel compounds and predict their targets and potential toxicities. CADD provides an efficient method for virtual screening while reducing the time and cost of drug discovery. Molecular docking is a computational technique that predicts the interaction between small molecules and their target proteins, facilitating the identification of potential therapeutic compounds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&lt;EndNote&gt;&lt;Cite&gt;&lt;Author&gt;Gupta&lt;/Author&gt;&lt;Year&gt;2021&lt;/Year&gt;&lt;RecNum&gt;30&lt;/RecNum&gt;&lt;DisplayText&gt;&lt;style face="superscript"&gt;11&lt;/style&gt;&lt;/DisplayText&gt;&lt;record&gt;&lt;rec-number&gt;30&lt;/rec-number&gt;&lt;foreign-keys&gt;&lt;key app="EN" db-id="df0p2xfske5tetew9t8vxfreatd9we2w259x" timestamp="1688896319"&gt;30&lt;/key&gt;&lt;/foreign-keys&gt;&lt;ref-type name="Journal Article"&gt;17&lt;/ref-type&gt;&lt;contributors&gt;&lt;authors&gt;&lt;author&gt;Gupta, Rohan&lt;/author&gt;&lt;author&gt;Srivastava, Devesh&lt;/author&gt;&lt;author&gt;Sahu, Mehar&lt;/author&gt;&lt;author&gt;Tiwari, Swati&lt;/author&gt;&lt;author&gt;Ambasta, Rashmi K.&lt;/author&gt;&lt;author&gt;Kumar, Pravir&lt;/author&gt;&lt;/authors&gt;&lt;/contributors&gt;&lt;titles&gt;&lt;title&gt;Artificial intelligence to deep learning: machine intelligence approach for drug discovery&lt;/title&gt;&lt;secondary-title&gt;Molecular Diversity&lt;/secondary-title&gt;&lt;/titles&gt;&lt;periodical&gt;&lt;full-title&gt;Molecular Diversity&lt;/full-title&gt;&lt;/periodical&gt;&lt;pages&gt;1315-1360&lt;/pages&gt;&lt;volume&gt;25&lt;/volume&gt;&lt;number&gt;3&lt;/number&gt;&lt;dates&gt;&lt;year&gt;2021&lt;/year&gt;&lt;/dates&gt;&lt;publisher&gt;Springer Science and Business Media LLC&lt;/publisher&gt;&lt;isbn&gt;1381-1991&lt;/isbn&gt;&lt;urls&gt;&lt;related-urls&gt;&lt;url&gt;https://dx.doi.org/10.1007/s11030-021-10217-3&lt;/url&gt;&lt;/related-urls&gt;&lt;/urls&gt;&lt;electronic-resource-num&gt;10.1007/s11030-021-10217-3&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11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This approach has shown promise in various neurodegenerative diseases by identifying compounds that can interact with key pathological targets, such as alpha-synuclein in PD. Network pharmacology, on the other hand, provides a holistic view of the interactome, </w:t>
      </w:r>
      <w:r>
        <w:rPr>
          <w:rFonts w:ascii="Times New Roman" w:hAnsi="Times New Roman" w:cs="Times New Roman"/>
          <w:color w:val="000000" w:themeColor="text1"/>
          <w:sz w:val="24"/>
          <w:szCs w:val="24"/>
        </w:rPr>
        <w:t xml:space="preserve">enabling researchers to understand the complex interactions within biological systems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&lt;EndNote&gt;&lt;Cite&gt;&lt;Author&gt;Gong&lt;/Author&gt;&lt;Year&gt;2021&lt;/Year&gt;&lt;RecNum&gt;214&lt;/RecNum&gt;&lt;DisplayText&gt;&lt;style face="superscript"&gt;12&lt;/style&gt;&lt;/DisplayText&gt;&lt;record&gt;&lt;rec-number&gt;214&lt;/rec-number&gt;&lt;foreign-keys&gt;&lt;key app="EN" db-id="df0p2xfske5tetew9t8vxfreatd9we2w259x" timestamp="1753438554"&gt;214&lt;/key&gt;&lt;/foreign-keys&gt;&lt;ref-type name="Journal Article"&gt;17&lt;/ref-type&gt;&lt;contributors&gt;&lt;authors&gt;&lt;author&gt;Gong, J., Xu, Z., Hao, S., Chen, B., Zhuang, S., Zhejiang, J., Hospital, X., &amp;amp; Bathaie, S. Z.&lt;/author&gt;&lt;/authors&gt;&lt;/contributors&gt;&lt;titles&gt;&lt;title&gt;Prediction of the underlying protective effect of saffron on Parkinson’s disease via network pharmacology and molecular docking&lt;/title&gt;&lt;secondary-title&gt;Research Square &lt;/secondary-title&gt;&lt;/titles&gt;&lt;dates&gt;&lt;year&gt;2021&lt;/year&gt;&lt;/dates&gt;&lt;urls&gt;&lt;/urls&gt;&lt;electronic-resource-num&gt;https://doi.org/10.21203/rs.3.rs-143357/v1&lt;/electronic-resource-num&gt;&lt;/record&gt;&lt;/Cite&gt;&lt;/EndNote&gt;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12</w:t>
      </w:r>
      <w:r>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w:t>
      </w:r>
    </w:p>
    <w:p w14:paraId="2B78EBE6" w14:textId="716C2A50"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By identifying key nodes and pathways involved in disease mechanisms, network pharmacology can highlight potential multi-target therapeutic strategies that may be more effective in treating complex diseases like PD</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&lt;EndNote&gt;&lt;Cite&gt;&lt;Author&gt;Gong&lt;/Author&gt;&lt;Year&gt;2021&lt;/Year&gt;&lt;RecNum&gt;214&lt;/RecNum&gt;&lt;DisplayText&gt;&lt;style face="superscript"&gt;12&lt;/style&gt;&lt;/DisplayText&gt;&lt;record&gt;&lt;rec-number&gt;214&lt;/rec-number&gt;&lt;foreign-keys&gt;&lt;key app="EN" db-id="df0p2xfske5tetew9t8vxfreatd9we2w259x" timestamp="1753438554"&gt;214&lt;/key&gt;&lt;/foreign-keys&gt;&lt;ref-type name="Journal Article"&gt;17&lt;/ref-type&gt;&lt;contributors&gt;&lt;authors&gt;&lt;author&gt;Gong, J., Xu, Z., Hao, S., Chen, B., Zhuang, S., Zhejiang, J., Hospital, X., &amp;amp; Bathaie, S. Z.&lt;/author&gt;&lt;/authors&gt;&lt;/contributors&gt;&lt;titles&gt;&lt;title&gt;Prediction of the underlying protective effect of saffron on Parkinson’s disease via network pharmacology and molecular docking&lt;/title&gt;&lt;secondary-title&gt;Research Square &lt;/secondary-title&gt;&lt;/titles&gt;&lt;dates&gt;&lt;year&gt;2021&lt;/year&gt;&lt;/dates&gt;&lt;urls&gt;&lt;/urls&gt;&lt;electronic-resource-num&gt;https://doi.org/10.21203/rs.3.rs-143357/v1&lt;/electronic-resource-num&gt;&lt;/record&gt;&lt;/Cite&gt;&lt;/EndNote&gt;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12</w:t>
      </w:r>
      <w:r>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Combining molecular docking and network pharmacology offers a synergistic approach to drug discovery, enhancing the prediction of therapeutic effects by integrating target-specific interactions with a broader understanding of the disease network. This study aims to leverage this integrated approach to identify and predict the therapeutic potential of phenolic compounds found in </w:t>
      </w:r>
      <w:r w:rsidRPr="009E1888">
        <w:rPr>
          <w:rFonts w:ascii="Times New Roman" w:hAnsi="Times New Roman" w:cs="Times New Roman"/>
          <w:i/>
          <w:color w:val="000000" w:themeColor="text1"/>
          <w:sz w:val="24"/>
          <w:szCs w:val="24"/>
        </w:rPr>
        <w:t>A. africana</w:t>
      </w:r>
      <w:r w:rsidRPr="009E1888">
        <w:rPr>
          <w:rFonts w:ascii="Times New Roman" w:hAnsi="Times New Roman" w:cs="Times New Roman"/>
          <w:color w:val="000000" w:themeColor="text1"/>
          <w:sz w:val="24"/>
          <w:szCs w:val="24"/>
        </w:rPr>
        <w:t>, potentially contributing to the development of disease-modifying therapies.</w:t>
      </w:r>
    </w:p>
    <w:p w14:paraId="58FE927F" w14:textId="77777777" w:rsidR="00605EBD" w:rsidRPr="009E1888" w:rsidRDefault="00605EBD" w:rsidP="00605EBD">
      <w:pPr>
        <w:spacing w:after="0" w:line="240" w:lineRule="auto"/>
        <w:rPr>
          <w:rFonts w:ascii="Times New Roman" w:hAnsi="Times New Roman" w:cs="Times New Roman"/>
          <w:sz w:val="24"/>
          <w:szCs w:val="24"/>
        </w:rPr>
      </w:pPr>
    </w:p>
    <w:p w14:paraId="3946F7F7" w14:textId="77777777" w:rsidR="00605EBD" w:rsidRPr="009E1888" w:rsidRDefault="00605EBD" w:rsidP="00605EBD">
      <w:pPr>
        <w:spacing w:after="0" w:line="240" w:lineRule="auto"/>
        <w:rPr>
          <w:rFonts w:ascii="Times New Roman" w:hAnsi="Times New Roman" w:cs="Times New Roman"/>
          <w:b/>
          <w:sz w:val="24"/>
          <w:szCs w:val="24"/>
        </w:rPr>
      </w:pPr>
      <w:r w:rsidRPr="009E1888">
        <w:rPr>
          <w:rFonts w:ascii="Times New Roman" w:hAnsi="Times New Roman" w:cs="Times New Roman"/>
          <w:b/>
          <w:sz w:val="24"/>
          <w:szCs w:val="24"/>
        </w:rPr>
        <w:t xml:space="preserve">Methodology </w:t>
      </w:r>
    </w:p>
    <w:p w14:paraId="72A392CC"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 xml:space="preserve">Identification of Bioactive Compounds in </w:t>
      </w:r>
      <w:r w:rsidRPr="009E1888">
        <w:rPr>
          <w:rFonts w:ascii="Times New Roman" w:hAnsi="Times New Roman" w:cs="Times New Roman"/>
          <w:b/>
          <w:bCs/>
          <w:i/>
          <w:iCs/>
          <w:sz w:val="24"/>
          <w:szCs w:val="24"/>
        </w:rPr>
        <w:t>Antiaris Africana</w:t>
      </w:r>
    </w:p>
    <w:p w14:paraId="084394AC" w14:textId="6F6B83D1" w:rsidR="00605EBD" w:rsidRPr="009E1888" w:rsidRDefault="00605EBD" w:rsidP="00605EBD">
      <w:pPr>
        <w:autoSpaceDE w:val="0"/>
        <w:autoSpaceDN w:val="0"/>
        <w:adjustRightInd w:val="0"/>
        <w:spacing w:after="0" w:line="240" w:lineRule="auto"/>
        <w:jc w:val="both"/>
        <w:rPr>
          <w:rFonts w:ascii="Times New Roman" w:hAnsi="Times New Roman" w:cs="Times New Roman"/>
          <w:sz w:val="24"/>
          <w:szCs w:val="24"/>
        </w:rPr>
      </w:pPr>
      <w:r w:rsidRPr="009E1888">
        <w:rPr>
          <w:rFonts w:ascii="Times New Roman" w:hAnsi="Times New Roman" w:cs="Times New Roman"/>
          <w:bCs/>
          <w:i/>
          <w:iCs/>
          <w:color w:val="000000" w:themeColor="text1"/>
          <w:sz w:val="24"/>
          <w:szCs w:val="24"/>
          <w:shd w:val="clear" w:color="auto" w:fill="FFFFFF"/>
        </w:rPr>
        <w:t>Africana</w:t>
      </w:r>
      <w:r w:rsidRPr="009E1888">
        <w:rPr>
          <w:rFonts w:ascii="Times New Roman" w:hAnsi="Times New Roman" w:cs="Times New Roman"/>
          <w:b/>
          <w:color w:val="000000" w:themeColor="text1"/>
          <w:sz w:val="24"/>
          <w:szCs w:val="24"/>
          <w:shd w:val="clear" w:color="auto" w:fill="FFFFFF"/>
        </w:rPr>
        <w:t xml:space="preserve"> </w:t>
      </w:r>
      <w:r w:rsidRPr="009E1888">
        <w:rPr>
          <w:rFonts w:ascii="Times New Roman" w:hAnsi="Times New Roman" w:cs="Times New Roman"/>
          <w:sz w:val="24"/>
          <w:szCs w:val="24"/>
        </w:rPr>
        <w:t xml:space="preserve">compounds used in this study were selected based on a review of published phytochemical profiling data. Two studies from Kuete et al. (2009) and </w:t>
      </w:r>
      <w:r w:rsidRPr="009E1888">
        <w:rPr>
          <w:rFonts w:ascii="Times New Roman" w:hAnsi="Times New Roman" w:cs="Times New Roman"/>
          <w:color w:val="000000"/>
          <w:sz w:val="24"/>
          <w:szCs w:val="24"/>
        </w:rPr>
        <w:t>Omotayo</w:t>
      </w:r>
      <w:r w:rsidRPr="009E1888">
        <w:rPr>
          <w:rFonts w:ascii="Times New Roman" w:hAnsi="Times New Roman" w:cs="Times New Roman"/>
          <w:sz w:val="24"/>
          <w:szCs w:val="24"/>
        </w:rPr>
        <w:t xml:space="preserve"> et al. (2016) were selected due to their depth of analytical characterizations of A. Africana extracts</w:t>
      </w:r>
      <w:r>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PEVuZE5vdGU+PENpdGU+PEF1dGhvcj5LdWV0ZTwvQXV0aG9yPjxZZWFyPjIwMDk8L1llYXI+PFJl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</w:fldData>
        </w:fldChar>
      </w:r>
      <w:r w:rsidR="000C3006">
        <w:rPr>
          <w:rFonts w:ascii="Times New Roman" w:hAnsi="Times New Roman" w:cs="Times New Roman"/>
          <w:sz w:val="24"/>
          <w:szCs w:val="24"/>
        </w:rPr>
        <w:instrText xml:space="preserve"> ADDIN EN.CITE </w:instrText>
      </w:r>
      <w:r w:rsidR="000C3006">
        <w:rPr>
          <w:rFonts w:ascii="Times New Roman" w:hAnsi="Times New Roman" w:cs="Times New Roman"/>
          <w:sz w:val="24"/>
          <w:szCs w:val="24"/>
        </w:rPr>
        <w:fldChar w:fldCharType="begin">
          <w:fldData xml:space="preserve">PEVuZE5vdGU+PENpdGU+PEF1dGhvcj5LdWV0ZTwvQXV0aG9yPjxZZWFyPjIwMDk8L1llYXI+PFJl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</w:fldData>
        </w:fldChar>
      </w:r>
      <w:r w:rsidR="000C3006">
        <w:rPr>
          <w:rFonts w:ascii="Times New Roman" w:hAnsi="Times New Roman" w:cs="Times New Roman"/>
          <w:sz w:val="24"/>
          <w:szCs w:val="24"/>
        </w:rPr>
        <w:instrText xml:space="preserve"> ADDIN EN.CITE.DATA </w:instrText>
      </w:r>
      <w:r w:rsidR="000C3006">
        <w:rPr>
          <w:rFonts w:ascii="Times New Roman" w:hAnsi="Times New Roman" w:cs="Times New Roman"/>
          <w:sz w:val="24"/>
          <w:szCs w:val="24"/>
        </w:rPr>
      </w:r>
      <w:r w:rsidR="000C3006">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9, 10</w:t>
      </w:r>
      <w:r>
        <w:rPr>
          <w:rFonts w:ascii="Times New Roman" w:hAnsi="Times New Roman" w:cs="Times New Roman"/>
          <w:sz w:val="24"/>
          <w:szCs w:val="24"/>
        </w:rPr>
        <w:fldChar w:fldCharType="end"/>
      </w:r>
      <w:r>
        <w:rPr>
          <w:rFonts w:ascii="Times New Roman" w:hAnsi="Times New Roman" w:cs="Times New Roman"/>
          <w:sz w:val="24"/>
          <w:szCs w:val="24"/>
        </w:rPr>
        <w:t>.</w:t>
      </w:r>
      <w:r w:rsidRPr="009E1888">
        <w:rPr>
          <w:rFonts w:ascii="Times New Roman" w:hAnsi="Times New Roman" w:cs="Times New Roman"/>
          <w:sz w:val="24"/>
          <w:szCs w:val="24"/>
        </w:rPr>
        <w:t xml:space="preserve"> These studies employed chromatographic and spectroscopic methods, including HPLC-DAD and NMR, to define the composition of bioactive constituents. The comprehensive compound profiles provided by these studies formed the basis for the rational selection of candidate molecules for downstream in silico screening.</w:t>
      </w:r>
    </w:p>
    <w:p w14:paraId="23AB4801" w14:textId="77777777" w:rsidR="00605EBD" w:rsidRPr="009E1888" w:rsidRDefault="00605EBD" w:rsidP="00605EBD">
      <w:pPr>
        <w:spacing w:after="0" w:line="240" w:lineRule="auto"/>
        <w:jc w:val="both"/>
        <w:rPr>
          <w:rFonts w:ascii="Times New Roman" w:hAnsi="Times New Roman" w:cs="Times New Roman"/>
          <w:sz w:val="24"/>
          <w:szCs w:val="24"/>
        </w:rPr>
      </w:pPr>
    </w:p>
    <w:p w14:paraId="7CF606B5" w14:textId="77777777" w:rsidR="00605EBD" w:rsidRPr="009E1888" w:rsidRDefault="00605EBD" w:rsidP="00605EBD">
      <w:pPr>
        <w:spacing w:after="0" w:line="240" w:lineRule="auto"/>
        <w:jc w:val="both"/>
        <w:rPr>
          <w:rFonts w:ascii="Times New Roman" w:hAnsi="Times New Roman" w:cs="Times New Roman"/>
          <w:b/>
          <w:sz w:val="24"/>
          <w:szCs w:val="24"/>
        </w:rPr>
      </w:pPr>
      <w:r w:rsidRPr="009E1888">
        <w:rPr>
          <w:rFonts w:ascii="Times New Roman" w:hAnsi="Times New Roman" w:cs="Times New Roman"/>
          <w:b/>
          <w:sz w:val="24"/>
          <w:szCs w:val="24"/>
        </w:rPr>
        <w:t>Identification of Parkinson related genes and A. Africana compound targets</w:t>
      </w:r>
    </w:p>
    <w:p w14:paraId="056C3E60" w14:textId="48B354D3"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 xml:space="preserve">Parkinson associated genes were retrieved from GeneCards ( </w:t>
      </w:r>
      <w:hyperlink r:id="rId7" w:history="1">
        <w:r w:rsidRPr="009E1888">
          <w:rPr>
            <w:rFonts w:ascii="Times New Roman" w:hAnsi="Times New Roman" w:cs="Times New Roman"/>
            <w:sz w:val="24"/>
            <w:szCs w:val="24"/>
          </w:rPr>
          <w:t>https://www.genecards.org/</w:t>
        </w:r>
      </w:hyperlink>
      <w:r w:rsidRPr="009E1888">
        <w:rPr>
          <w:rFonts w:ascii="Times New Roman" w:hAnsi="Times New Roman" w:cs="Times New Roman"/>
          <w:sz w:val="24"/>
          <w:szCs w:val="24"/>
        </w:rPr>
        <w:t xml:space="preserve"> accessed on 15 April 2024) and saved in an Excel format. GeneCards provides a comprehensive gene database with over 73,000 genes. These genes are mined and integrated from about 80 sources, which makes it ideal for our network pharmacology approach, where a broad and functionally relevant set of genes is essential. To identify the target proteins of A. Africana compounds, the study utilized two independent databases: SwissTargetPrediction (</w:t>
      </w:r>
      <w:hyperlink r:id="rId8" w:history="1">
        <w:r w:rsidRPr="009E1888">
          <w:rPr>
            <w:rFonts w:ascii="Times New Roman" w:hAnsi="Times New Roman" w:cs="Times New Roman"/>
            <w:sz w:val="24"/>
            <w:szCs w:val="24"/>
          </w:rPr>
          <w:t>http://www.swisstargetprediction.ch/</w:t>
        </w:r>
      </w:hyperlink>
      <w:r w:rsidRPr="009E1888">
        <w:rPr>
          <w:rFonts w:ascii="Times New Roman" w:hAnsi="Times New Roman" w:cs="Times New Roman"/>
          <w:sz w:val="24"/>
          <w:szCs w:val="24"/>
        </w:rPr>
        <w:t xml:space="preserve"> </w:t>
      </w:r>
      <w:r w:rsidRPr="009E1888">
        <w:rPr>
          <w:rFonts w:ascii="Times New Roman" w:hAnsi="Times New Roman" w:cs="Times New Roman"/>
          <w:color w:val="000000" w:themeColor="text1"/>
          <w:sz w:val="24"/>
          <w:szCs w:val="24"/>
        </w:rPr>
        <w:t>accessed on 15 April 2024</w:t>
      </w:r>
      <w:r w:rsidRPr="009E1888">
        <w:rPr>
          <w:rFonts w:ascii="Times New Roman" w:hAnsi="Times New Roman" w:cs="Times New Roman"/>
          <w:sz w:val="24"/>
          <w:szCs w:val="24"/>
        </w:rPr>
        <w:t>) and STITCH database (</w:t>
      </w:r>
      <w:hyperlink r:id="rId9" w:history="1">
        <w:r w:rsidRPr="009E1888">
          <w:rPr>
            <w:rFonts w:ascii="Times New Roman" w:hAnsi="Times New Roman" w:cs="Times New Roman"/>
            <w:sz w:val="24"/>
            <w:szCs w:val="24"/>
          </w:rPr>
          <w:t>http://stitch.embl.de/</w:t>
        </w:r>
      </w:hyperlink>
      <w:r w:rsidRPr="009E1888">
        <w:rPr>
          <w:rFonts w:ascii="Times New Roman" w:hAnsi="Times New Roman" w:cs="Times New Roman"/>
          <w:sz w:val="24"/>
          <w:szCs w:val="24"/>
        </w:rPr>
        <w:t xml:space="preserve"> accessed on 15 April 2024). Protein targets were obtained for A. Africana extracts: Caffeic Acid, Chlorogenic Acid, Catechin, Ellagic Acid, Epigallocatechin, Gallic Acid, Isoquercetin, Kaempferol, Quercetin, Quercitrin, Rutin </w:t>
      </w:r>
      <w:r w:rsidRPr="009E1888">
        <w:rPr>
          <w:rFonts w:ascii="Times New Roman" w:hAnsi="Times New Roman" w:cs="Times New Roman"/>
          <w:sz w:val="24"/>
          <w:szCs w:val="24"/>
        </w:rPr>
        <w:fldChar w:fldCharType="begin">
          <w:fldData xml:space="preserve">PEVuZE5vdGU+PENpdGU+PEF1dGhvcj5HZmVsbGVyPC9BdXRob3I+PFllYXI+MjAxNDwvWWVhcj48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</w:fldData>
        </w:fldChar>
      </w:r>
      <w:r w:rsidR="000C3006">
        <w:rPr>
          <w:rFonts w:ascii="Times New Roman" w:hAnsi="Times New Roman" w:cs="Times New Roman"/>
          <w:sz w:val="24"/>
          <w:szCs w:val="24"/>
        </w:rPr>
        <w:instrText xml:space="preserve"> ADDIN EN.CITE </w:instrText>
      </w:r>
      <w:r w:rsidR="000C3006">
        <w:rPr>
          <w:rFonts w:ascii="Times New Roman" w:hAnsi="Times New Roman" w:cs="Times New Roman"/>
          <w:sz w:val="24"/>
          <w:szCs w:val="24"/>
        </w:rPr>
        <w:fldChar w:fldCharType="begin">
          <w:fldData xml:space="preserve">PEVuZE5vdGU+PENpdGU+PEF1dGhvcj5HZmVsbGVyPC9BdXRob3I+PFllYXI+MjAxNDwvWWVhcj48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</w:fldData>
        </w:fldChar>
      </w:r>
      <w:r w:rsidR="000C3006">
        <w:rPr>
          <w:rFonts w:ascii="Times New Roman" w:hAnsi="Times New Roman" w:cs="Times New Roman"/>
          <w:sz w:val="24"/>
          <w:szCs w:val="24"/>
        </w:rPr>
        <w:instrText xml:space="preserve"> ADDIN EN.CITE.DATA </w:instrText>
      </w:r>
      <w:r w:rsidR="000C3006">
        <w:rPr>
          <w:rFonts w:ascii="Times New Roman" w:hAnsi="Times New Roman" w:cs="Times New Roman"/>
          <w:sz w:val="24"/>
          <w:szCs w:val="24"/>
        </w:rPr>
      </w:r>
      <w:r w:rsidR="000C3006">
        <w:rPr>
          <w:rFonts w:ascii="Times New Roman" w:hAnsi="Times New Roman" w:cs="Times New Roman"/>
          <w:sz w:val="24"/>
          <w:szCs w:val="24"/>
        </w:rPr>
        <w:fldChar w:fldCharType="end"/>
      </w:r>
      <w:r w:rsidRPr="009E1888">
        <w:rPr>
          <w:rFonts w:ascii="Times New Roman" w:hAnsi="Times New Roman" w:cs="Times New Roman"/>
          <w:sz w:val="24"/>
          <w:szCs w:val="24"/>
        </w:rPr>
      </w:r>
      <w:r w:rsidRPr="009E1888">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13, 14</w:t>
      </w:r>
      <w:r w:rsidRPr="009E1888">
        <w:rPr>
          <w:rFonts w:ascii="Times New Roman" w:hAnsi="Times New Roman" w:cs="Times New Roman"/>
          <w:sz w:val="24"/>
          <w:szCs w:val="24"/>
        </w:rPr>
        <w:fldChar w:fldCharType="end"/>
      </w:r>
      <w:r w:rsidRPr="009E1888">
        <w:rPr>
          <w:rFonts w:ascii="Times New Roman" w:hAnsi="Times New Roman" w:cs="Times New Roman"/>
          <w:sz w:val="24"/>
          <w:szCs w:val="24"/>
        </w:rPr>
        <w:t xml:space="preserve">. Compounds were converted into their respective Simplified Molecular Input Line Entry System (SMILES) format and submitted to SwissTargetPrediction and STITCH database servers, utilizing similar measures and curated databases of known ligand interactions for predictions </w:t>
      </w:r>
      <w:r w:rsidRPr="009E1888">
        <w:rPr>
          <w:rFonts w:ascii="Times New Roman" w:hAnsi="Times New Roman" w:cs="Times New Roman"/>
          <w:sz w:val="24"/>
          <w:szCs w:val="24"/>
        </w:rPr>
        <w:fldChar w:fldCharType="begin"/>
      </w:r>
      <w:r w:rsidR="000C3006">
        <w:rPr>
          <w:rFonts w:ascii="Times New Roman" w:hAnsi="Times New Roman" w:cs="Times New Roman"/>
          <w:sz w:val="24"/>
          <w:szCs w:val="24"/>
        </w:rPr>
        <w:instrText xml:space="preserve"> ADDIN EN.CITE &lt;EndNote&gt;&lt;Cite&gt;&lt;Author&gt;Gfeller&lt;/Author&gt;&lt;Year&gt;2014&lt;/Year&gt;&lt;RecNum&gt;105&lt;/RecNum&gt;&lt;DisplayText&gt;&lt;style face="superscript"&gt;13&lt;/style&gt;&lt;/DisplayText&gt;&lt;record&gt;&lt;rec-number&gt;105&lt;/rec-number&gt;&lt;foreign-keys&gt;&lt;key app="EN" db-id="df0p2xfske5tetew9t8vxfreatd9we2w259x" timestamp="1715181360"&gt;105&lt;/key&gt;&lt;/foreign-keys&gt;&lt;ref-type name="Journal Article"&gt;17&lt;/ref-type&gt;&lt;contributors&gt;&lt;authors&gt;&lt;author&gt;Gfeller, David&lt;/author&gt;&lt;author&gt;Grosdidier, Aurélien&lt;/author&gt;&lt;author&gt;Wirth, Matthias&lt;/author&gt;&lt;author&gt;Daina, Antoine&lt;/author&gt;&lt;author&gt;Michielin, Olivier&lt;/author&gt;&lt;author&gt;Zoete, Vincent&lt;/author&gt;&lt;/authors&gt;&lt;/contributors&gt;&lt;titles&gt;&lt;title&gt;SwissTargetPrediction: a web server for target prediction of bioactive small molecules&lt;/title&gt;&lt;secondary-title&gt;Nucleic Acids Research&lt;/secondary-title&gt;&lt;/titles&gt;&lt;periodical&gt;&lt;full-title&gt;Nucleic Acids Research&lt;/full-title&gt;&lt;/periodical&gt;&lt;pages&gt;W32-W38&lt;/pages&gt;&lt;volume&gt;42&lt;/volume&gt;&lt;number&gt;W1&lt;/number&gt;&lt;dates&gt;&lt;year&gt;2014&lt;/year&gt;&lt;/dates&gt;&lt;publisher&gt;Oxford University Press (OUP)&lt;/publisher&gt;&lt;isbn&gt;1362-4962&lt;/isbn&gt;&lt;urls&gt;&lt;related-urls&gt;&lt;url&gt;https://dx.doi.org/10.1093/nar/gku293&lt;/url&gt;&lt;/related-urls&gt;&lt;/urls&gt;&lt;electronic-resource-num&gt;10.1093/nar/gku293&lt;/electronic-resource-num&gt;&lt;/record&gt;&lt;/Cite&gt;&lt;/EndNote&gt;</w:instrText>
      </w:r>
      <w:r w:rsidRPr="009E1888">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13</w:t>
      </w:r>
      <w:r w:rsidRPr="009E1888">
        <w:rPr>
          <w:rFonts w:ascii="Times New Roman" w:hAnsi="Times New Roman" w:cs="Times New Roman"/>
          <w:sz w:val="24"/>
          <w:szCs w:val="24"/>
        </w:rPr>
        <w:fldChar w:fldCharType="end"/>
      </w:r>
      <w:r w:rsidRPr="009E1888">
        <w:rPr>
          <w:rFonts w:ascii="Times New Roman" w:hAnsi="Times New Roman" w:cs="Times New Roman"/>
          <w:sz w:val="24"/>
          <w:szCs w:val="24"/>
        </w:rPr>
        <w:t>. Compound targets were saved in the .tsv format. All targets identified by the databases were used for analysis.</w:t>
      </w:r>
    </w:p>
    <w:p w14:paraId="24A19CA7"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To identify a relationship between A. Africana compound targets and Parkinson related genes, a Venn diagram using VENNY 2.1.0 (</w:t>
      </w:r>
      <w:hyperlink r:id="rId10" w:tgtFrame="_new" w:history="1">
        <w:r w:rsidRPr="009E1888">
          <w:rPr>
            <w:rFonts w:ascii="Times New Roman" w:hAnsi="Times New Roman" w:cs="Times New Roman"/>
            <w:sz w:val="24"/>
            <w:szCs w:val="24"/>
          </w:rPr>
          <w:t>https://bioinfogp.cnb.csic.es/tools/venny/</w:t>
        </w:r>
      </w:hyperlink>
      <w:r w:rsidRPr="009E1888">
        <w:rPr>
          <w:rFonts w:ascii="Times New Roman" w:hAnsi="Times New Roman" w:cs="Times New Roman"/>
          <w:sz w:val="24"/>
          <w:szCs w:val="24"/>
        </w:rPr>
        <w:t xml:space="preserve">, accessed on 17 April 2024). We imported the datasets of both parameters and isolated Parkinson related compound targets. </w:t>
      </w:r>
    </w:p>
    <w:p w14:paraId="670379D9"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 xml:space="preserve"> </w:t>
      </w:r>
    </w:p>
    <w:p w14:paraId="0B66691B" w14:textId="77777777" w:rsidR="00605EBD" w:rsidRPr="009E1888" w:rsidRDefault="00605EBD" w:rsidP="00605EBD">
      <w:pPr>
        <w:spacing w:after="0" w:line="240" w:lineRule="auto"/>
        <w:rPr>
          <w:rFonts w:ascii="Times New Roman" w:hAnsi="Times New Roman" w:cs="Times New Roman"/>
          <w:b/>
          <w:bCs/>
          <w:sz w:val="24"/>
          <w:szCs w:val="24"/>
        </w:rPr>
      </w:pPr>
      <w:r w:rsidRPr="009E1888">
        <w:rPr>
          <w:rFonts w:ascii="Times New Roman" w:hAnsi="Times New Roman" w:cs="Times New Roman"/>
          <w:b/>
          <w:bCs/>
          <w:sz w:val="24"/>
          <w:szCs w:val="24"/>
        </w:rPr>
        <w:t>Hub gene Identification and Protein-Protein interaction network</w:t>
      </w:r>
    </w:p>
    <w:p w14:paraId="72DADA2B" w14:textId="48268EA3"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Identified protein targets were uploaded into the STRING database (</w:t>
      </w:r>
      <w:hyperlink r:id="rId11" w:history="1">
        <w:r w:rsidRPr="009E1888">
          <w:rPr>
            <w:rFonts w:ascii="Times New Roman" w:hAnsi="Times New Roman" w:cs="Times New Roman"/>
            <w:sz w:val="24"/>
            <w:szCs w:val="24"/>
          </w:rPr>
          <w:t>https://string-db.org/</w:t>
        </w:r>
      </w:hyperlink>
      <w:r w:rsidRPr="009E1888">
        <w:rPr>
          <w:rFonts w:ascii="Times New Roman" w:hAnsi="Times New Roman" w:cs="Times New Roman"/>
          <w:sz w:val="24"/>
          <w:szCs w:val="24"/>
        </w:rPr>
        <w:t xml:space="preserve"> accessed on 18 April 20224), where an interactive network was generated utilizing “</w:t>
      </w:r>
      <w:r w:rsidRPr="009E1888">
        <w:rPr>
          <w:rFonts w:ascii="Times New Roman" w:hAnsi="Times New Roman" w:cs="Times New Roman"/>
          <w:i/>
          <w:sz w:val="24"/>
          <w:szCs w:val="24"/>
        </w:rPr>
        <w:t>Homo Sapiens</w:t>
      </w:r>
      <w:r w:rsidRPr="009E1888">
        <w:rPr>
          <w:rFonts w:ascii="Times New Roman" w:hAnsi="Times New Roman" w:cs="Times New Roman"/>
          <w:sz w:val="24"/>
          <w:szCs w:val="24"/>
        </w:rPr>
        <w:t xml:space="preserve">” and the highest confidence of 0.9 as the screening conditions </w:t>
      </w:r>
      <w:r w:rsidRPr="009E1888">
        <w:rPr>
          <w:rFonts w:ascii="Times New Roman" w:hAnsi="Times New Roman" w:cs="Times New Roman"/>
          <w:sz w:val="24"/>
          <w:szCs w:val="24"/>
        </w:rPr>
        <w:fldChar w:fldCharType="begin"/>
      </w:r>
      <w:r w:rsidR="000C3006">
        <w:rPr>
          <w:rFonts w:ascii="Times New Roman" w:hAnsi="Times New Roman" w:cs="Times New Roman"/>
          <w:sz w:val="24"/>
          <w:szCs w:val="24"/>
        </w:rPr>
        <w:instrText xml:space="preserve"> ADDIN EN.CITE &lt;EndNote&gt;&lt;Cite&gt;&lt;Author&gt;Szklarczyk&lt;/Author&gt;&lt;Year&gt;2023&lt;/Year&gt;&lt;RecNum&gt;106&lt;/RecNum&gt;&lt;DisplayText&gt;&lt;style face="superscript"&gt;15&lt;/style&gt;&lt;/DisplayText&gt;&lt;record&gt;&lt;rec-number&gt;106&lt;/rec-number&gt;&lt;foreign-keys&gt;&lt;key app="EN" db-id="df0p2xfske5tetew9t8vxfreatd9we2w259x" timestamp="1715184865"&gt;106&lt;/key&gt;&lt;/foreign-keys&gt;&lt;ref-type name="Journal Article"&gt;17&lt;/ref-type&gt;&lt;contributors&gt;&lt;authors&gt;&lt;author&gt;Szklarczyk, Damian&lt;/author&gt;&lt;author&gt;Kirsch, Rebecca&lt;/author&gt;&lt;author&gt;Koutrouli, Mikaela&lt;/author&gt;&lt;author&gt;Nastou, Katerina&lt;/author&gt;&lt;author&gt;Mehryary, Farrokh&lt;/author&gt;&lt;author&gt;Hachilif, Radja&lt;/author&gt;&lt;author&gt;Gable, Annika L.&lt;/author&gt;&lt;author&gt;Fang, Tao&lt;/author&gt;&lt;author&gt;Nadezhda,&lt;/author&gt;&lt;author&gt;Pyysalo, Sampo&lt;/author&gt;&lt;author&gt;Bork, Peer&lt;/author&gt;&lt;author&gt;Lars,&lt;/author&gt;&lt;author&gt;Christian,&lt;/author&gt;&lt;/authors&gt;&lt;/contributors&gt;&lt;titles&gt;&lt;title&gt;The STRING database in 2023: protein–protein association networks and functional enrichment analyses for any sequenced genome of interest&lt;/title&gt;&lt;secondary-title&gt;Nucleic Acids Research&lt;/secondary-title&gt;&lt;/titles&gt;&lt;periodical&gt;&lt;full-title&gt;Nucleic Acids Research&lt;/full-title&gt;&lt;/periodical&gt;&lt;pages&gt;D638-D646&lt;/pages&gt;&lt;volume&gt;51&lt;/volume&gt;&lt;number&gt;D1&lt;/number&gt;&lt;dates&gt;&lt;year&gt;2023&lt;/year&gt;&lt;/dates&gt;&lt;publisher&gt;Oxford University Press (OUP)&lt;/publisher&gt;&lt;isbn&gt;0305-1048&lt;/isbn&gt;&lt;urls&gt;&lt;related-urls&gt;&lt;url&gt;https://dx.doi.org/10.1093/nar/gkac1000&lt;/url&gt;&lt;/related-urls&gt;&lt;/urls&gt;&lt;electronic-resource-num&gt;10.1093/nar/gkac1000&lt;/electronic-resource-num&gt;&lt;/record&gt;&lt;/Cite&gt;&lt;/EndNote&gt;</w:instrText>
      </w:r>
      <w:r w:rsidRPr="009E1888">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15</w:t>
      </w:r>
      <w:r w:rsidRPr="009E1888">
        <w:rPr>
          <w:rFonts w:ascii="Times New Roman" w:hAnsi="Times New Roman" w:cs="Times New Roman"/>
          <w:sz w:val="24"/>
          <w:szCs w:val="24"/>
        </w:rPr>
        <w:fldChar w:fldCharType="end"/>
      </w:r>
      <w:r w:rsidRPr="009E1888">
        <w:rPr>
          <w:rFonts w:ascii="Times New Roman" w:hAnsi="Times New Roman" w:cs="Times New Roman"/>
          <w:sz w:val="24"/>
          <w:szCs w:val="24"/>
        </w:rPr>
        <w:t xml:space="preserve">. A graphical representation of the functional and physical interactions between proteins was obtained and saved in the CSV format. The PPI network data was imported into Cytoscape version 3.10.0, and the core targets of compounds were identified using the CytoHubba plugin </w:t>
      </w:r>
      <w:r>
        <w:rPr>
          <w:rFonts w:ascii="Times New Roman" w:hAnsi="Times New Roman" w:cs="Times New Roman"/>
          <w:sz w:val="24"/>
          <w:szCs w:val="24"/>
        </w:rPr>
        <w:fldChar w:fldCharType="begin"/>
      </w:r>
      <w:r w:rsidR="000C3006">
        <w:rPr>
          <w:rFonts w:ascii="Times New Roman" w:hAnsi="Times New Roman" w:cs="Times New Roman"/>
          <w:sz w:val="24"/>
          <w:szCs w:val="24"/>
        </w:rPr>
        <w:instrText xml:space="preserve"> ADDIN EN.CITE &lt;EndNote&gt;&lt;Cite&gt;&lt;Author&gt;Chin&lt;/Author&gt;&lt;Year&gt;2014&lt;/Year&gt;&lt;RecNum&gt;109&lt;/RecNum&gt;&lt;DisplayText&gt;&lt;style face="superscript"&gt;16&lt;/style&gt;&lt;/DisplayText&gt;&lt;record&gt;&lt;rec-number&gt;109&lt;/rec-number&gt;&lt;foreign-keys&gt;&lt;key app="EN" db-id="df0p2xfske5tetew9t8vxfreatd9we2w259x" timestamp="1718256045"&gt;109&lt;/key&gt;&lt;/foreign-keys&gt;&lt;ref-type name="Journal Article"&gt;17&lt;/ref-type&gt;&lt;contributors&gt;&lt;authors&gt;&lt;author&gt;Chin, C. H.&lt;/author&gt;&lt;author&gt;Chen, S. H.&lt;/author&gt;&lt;author&gt;Wu, H. H.&lt;/author&gt;&lt;author&gt;Ho, C. W.&lt;/author&gt;&lt;author&gt;Ko, M. T.&lt;/author&gt;&lt;author&gt;Lin, C. Y.&lt;/author&gt;&lt;/authors&gt;&lt;/contributors&gt;&lt;titles&gt;&lt;title&gt;cytoHubba: identifying hub objects and sub-networks from complex interactome&lt;/title&gt;&lt;secondary-title&gt;BMC Syst Biol&lt;/secondary-title&gt;&lt;/titles&gt;&lt;periodical&gt;&lt;full-title&gt;BMC Syst Biol&lt;/full-title&gt;&lt;/periodical&gt;&lt;pages&gt;S11&lt;/pages&gt;&lt;volume&gt;8 Suppl 4&lt;/volume&gt;&lt;number&gt;Suppl 4&lt;/number&gt;&lt;edition&gt;20141208&lt;/edition&gt;&lt;keywords&gt;&lt;keyword&gt;Computational Biology/*methods&lt;/keyword&gt;&lt;keyword&gt;*Protein Interaction Mapping&lt;/keyword&gt;&lt;keyword&gt;Saccharomyces cerevisiae/metabolism&lt;/keyword&gt;&lt;keyword&gt;*Software&lt;/keyword&gt;&lt;/keywords&gt;&lt;dates&gt;&lt;year&gt;2014&lt;/year&gt;&lt;/dates&gt;&lt;isbn&gt;1752-0509 (Electronic)&amp;#xD;1752-0509 (Linking)&lt;/isbn&gt;&lt;accession-num&gt;25521941&lt;/accession-num&gt;&lt;urls&gt;&lt;related-urls&gt;&lt;url&gt;https://www.ncbi.nlm.nih.gov/pubmed/25521941&lt;/url&gt;&lt;/related-urls&gt;&lt;/urls&gt;&lt;custom2&gt;PMC4290687&lt;/custom2&gt;&lt;electronic-resource-num&gt;10.1186/1752-0509-8-S4-S11&lt;/electronic-resource-num&gt;&lt;/record&gt;&lt;/Cite&gt;&lt;/EndNote&gt;</w:instrText>
      </w:r>
      <w:r>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16</w:t>
      </w:r>
      <w:r>
        <w:rPr>
          <w:rFonts w:ascii="Times New Roman" w:hAnsi="Times New Roman" w:cs="Times New Roman"/>
          <w:sz w:val="24"/>
          <w:szCs w:val="24"/>
        </w:rPr>
        <w:fldChar w:fldCharType="end"/>
      </w:r>
      <w:r w:rsidRPr="009E1888">
        <w:rPr>
          <w:rFonts w:ascii="Times New Roman" w:hAnsi="Times New Roman" w:cs="Times New Roman"/>
          <w:sz w:val="24"/>
          <w:szCs w:val="24"/>
        </w:rPr>
        <w:t>. Disconnected nodes were excluded from the network, and hub genes were ranked based on their “Degree”, “Closeness”, and “Betweenness”. The top 20 genes were selected, and a PPI network was constructed.</w:t>
      </w:r>
    </w:p>
    <w:p w14:paraId="50F087A6" w14:textId="77777777" w:rsidR="00605EBD" w:rsidRDefault="00605EBD" w:rsidP="00605EBD">
      <w:pPr>
        <w:spacing w:after="0" w:line="240" w:lineRule="auto"/>
        <w:rPr>
          <w:rFonts w:ascii="Times New Roman" w:hAnsi="Times New Roman" w:cs="Times New Roman"/>
          <w:b/>
          <w:bCs/>
          <w:sz w:val="24"/>
          <w:szCs w:val="24"/>
        </w:rPr>
      </w:pPr>
    </w:p>
    <w:p w14:paraId="3690D807" w14:textId="77777777" w:rsidR="00605EBD" w:rsidRPr="009E1888" w:rsidRDefault="00605EBD" w:rsidP="00605EBD">
      <w:pPr>
        <w:spacing w:after="0" w:line="240" w:lineRule="auto"/>
        <w:rPr>
          <w:rFonts w:ascii="Times New Roman" w:hAnsi="Times New Roman" w:cs="Times New Roman"/>
          <w:b/>
          <w:bCs/>
          <w:sz w:val="24"/>
          <w:szCs w:val="24"/>
        </w:rPr>
      </w:pPr>
      <w:r w:rsidRPr="009E1888">
        <w:rPr>
          <w:rFonts w:ascii="Times New Roman" w:hAnsi="Times New Roman" w:cs="Times New Roman"/>
          <w:b/>
          <w:bCs/>
          <w:sz w:val="24"/>
          <w:szCs w:val="24"/>
        </w:rPr>
        <w:t>Gene Validation</w:t>
      </w:r>
      <w:r w:rsidRPr="009E1888">
        <w:rPr>
          <w:rFonts w:ascii="Times New Roman" w:hAnsi="Times New Roman" w:cs="Times New Roman"/>
          <w:b/>
          <w:sz w:val="24"/>
          <w:szCs w:val="24"/>
        </w:rPr>
        <w:t xml:space="preserve"> and </w:t>
      </w:r>
      <w:r w:rsidRPr="009E1888">
        <w:rPr>
          <w:rFonts w:ascii="Times New Roman" w:hAnsi="Times New Roman" w:cs="Times New Roman"/>
          <w:b/>
          <w:bCs/>
          <w:sz w:val="24"/>
          <w:szCs w:val="24"/>
        </w:rPr>
        <w:t>Enrichment Analysis</w:t>
      </w:r>
    </w:p>
    <w:p w14:paraId="6DBC4D85"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The METAscape web server (</w:t>
      </w:r>
      <w:hyperlink r:id="rId12" w:anchor="/main/step1" w:history="1">
        <w:r w:rsidRPr="009E1888">
          <w:rPr>
            <w:rFonts w:ascii="Times New Roman" w:hAnsi="Times New Roman" w:cs="Times New Roman"/>
            <w:sz w:val="24"/>
            <w:szCs w:val="24"/>
          </w:rPr>
          <w:t>https://metascape.org/gp/index.html#/main/step1,</w:t>
        </w:r>
      </w:hyperlink>
      <w:r w:rsidRPr="009E1888">
        <w:rPr>
          <w:rFonts w:ascii="Times New Roman" w:hAnsi="Times New Roman" w:cs="Times New Roman"/>
          <w:sz w:val="24"/>
          <w:szCs w:val="24"/>
        </w:rPr>
        <w:t xml:space="preserve"> accessed on 20 April 2024) was used to conduct KEGG pathway enrichment analysis, identifying biological processes significantly associated with the predicted targets. METAscape was also used to conduct DisGeNET disease enrichment by cross-referencing enriched pathway genes with the DisGeNET database. This allowed us to identify compound-targeted genes that are specifically implicated in Parkinsonism. Data obtained for validated genes were inserted into the SR Plot to generate an image for cellular component, molecular function, and molecular pathway of genes implicated in Parkinson’s disease. </w:t>
      </w:r>
    </w:p>
    <w:p w14:paraId="6BF6E45F" w14:textId="77777777" w:rsidR="00605EBD" w:rsidRPr="009E1888" w:rsidRDefault="00605EBD" w:rsidP="00605EBD">
      <w:pPr>
        <w:spacing w:after="0" w:line="240" w:lineRule="auto"/>
        <w:jc w:val="both"/>
        <w:rPr>
          <w:rFonts w:ascii="Times New Roman" w:hAnsi="Times New Roman" w:cs="Times New Roman"/>
          <w:sz w:val="24"/>
          <w:szCs w:val="24"/>
        </w:rPr>
      </w:pPr>
    </w:p>
    <w:p w14:paraId="79A3F07E" w14:textId="77777777" w:rsidR="00605EBD" w:rsidRPr="009E1888" w:rsidRDefault="00605EBD" w:rsidP="00605EBD">
      <w:pPr>
        <w:spacing w:after="0" w:line="240" w:lineRule="auto"/>
        <w:jc w:val="both"/>
        <w:rPr>
          <w:rFonts w:ascii="Times New Roman" w:hAnsi="Times New Roman" w:cs="Times New Roman"/>
          <w:b/>
          <w:sz w:val="24"/>
          <w:szCs w:val="24"/>
        </w:rPr>
      </w:pPr>
      <w:r w:rsidRPr="009E1888">
        <w:rPr>
          <w:rFonts w:ascii="Times New Roman" w:hAnsi="Times New Roman" w:cs="Times New Roman"/>
          <w:b/>
          <w:sz w:val="24"/>
          <w:szCs w:val="24"/>
        </w:rPr>
        <w:t xml:space="preserve">Virtual Screening </w:t>
      </w:r>
    </w:p>
    <w:p w14:paraId="214E05D7" w14:textId="5219EA5D" w:rsidR="00605EBD"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Virtual screening was conducted to identify potential molecular targets using molecular docking techniques. Ligand structures were sourced from the PubChem database (</w:t>
      </w:r>
      <w:hyperlink r:id="rId13" w:history="1">
        <w:r w:rsidRPr="009E1888">
          <w:rPr>
            <w:rFonts w:ascii="Times New Roman" w:hAnsi="Times New Roman" w:cs="Times New Roman"/>
            <w:sz w:val="24"/>
            <w:szCs w:val="24"/>
          </w:rPr>
          <w:t>https://pubchem.ncbi.nlm.nih.gov/</w:t>
        </w:r>
      </w:hyperlink>
      <w:r w:rsidRPr="009E1888">
        <w:rPr>
          <w:rFonts w:ascii="Times New Roman" w:hAnsi="Times New Roman" w:cs="Times New Roman"/>
          <w:sz w:val="24"/>
          <w:szCs w:val="24"/>
        </w:rPr>
        <w:t xml:space="preserve"> accessed on 21 April 2024), while crystal structures of proteins were modeled using SWISS-MODEL (</w:t>
      </w:r>
      <w:hyperlink r:id="rId14" w:history="1">
        <w:r w:rsidRPr="009E1888">
          <w:rPr>
            <w:rFonts w:ascii="Times New Roman" w:hAnsi="Times New Roman" w:cs="Times New Roman"/>
            <w:sz w:val="24"/>
            <w:szCs w:val="24"/>
          </w:rPr>
          <w:t>https://swissmodel.expasy.org/</w:t>
        </w:r>
      </w:hyperlink>
      <w:r w:rsidRPr="009E1888">
        <w:rPr>
          <w:rFonts w:ascii="Times New Roman" w:hAnsi="Times New Roman" w:cs="Times New Roman"/>
          <w:sz w:val="24"/>
          <w:szCs w:val="24"/>
        </w:rPr>
        <w:t xml:space="preserve"> accessed on 21 April 2024) </w:t>
      </w:r>
      <w:r w:rsidRPr="009E1888">
        <w:rPr>
          <w:rFonts w:ascii="Times New Roman" w:hAnsi="Times New Roman" w:cs="Times New Roman"/>
          <w:sz w:val="24"/>
          <w:szCs w:val="24"/>
        </w:rPr>
        <w:fldChar w:fldCharType="begin">
          <w:fldData xml:space="preserve">PEVuZE5vdGU+PENpdGU+PEF1dGhvcj5XYXRlcmhvdXNlPC9BdXRob3I+PFllYXI+MjAxODwvWWVh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</w:fldData>
        </w:fldChar>
      </w:r>
      <w:r w:rsidR="000C3006">
        <w:rPr>
          <w:rFonts w:ascii="Times New Roman" w:hAnsi="Times New Roman" w:cs="Times New Roman"/>
          <w:sz w:val="24"/>
          <w:szCs w:val="24"/>
        </w:rPr>
        <w:instrText xml:space="preserve"> ADDIN EN.CITE </w:instrText>
      </w:r>
      <w:r w:rsidR="000C3006">
        <w:rPr>
          <w:rFonts w:ascii="Times New Roman" w:hAnsi="Times New Roman" w:cs="Times New Roman"/>
          <w:sz w:val="24"/>
          <w:szCs w:val="24"/>
        </w:rPr>
        <w:fldChar w:fldCharType="begin">
          <w:fldData xml:space="preserve">PEVuZE5vdGU+PENpdGU+PEF1dGhvcj5XYXRlcmhvdXNlPC9BdXRob3I+PFllYXI+MjAxODwvWWVh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</w:fldData>
        </w:fldChar>
      </w:r>
      <w:r w:rsidR="000C3006">
        <w:rPr>
          <w:rFonts w:ascii="Times New Roman" w:hAnsi="Times New Roman" w:cs="Times New Roman"/>
          <w:sz w:val="24"/>
          <w:szCs w:val="24"/>
        </w:rPr>
        <w:instrText xml:space="preserve"> ADDIN EN.CITE.DATA </w:instrText>
      </w:r>
      <w:r w:rsidR="000C3006">
        <w:rPr>
          <w:rFonts w:ascii="Times New Roman" w:hAnsi="Times New Roman" w:cs="Times New Roman"/>
          <w:sz w:val="24"/>
          <w:szCs w:val="24"/>
        </w:rPr>
      </w:r>
      <w:r w:rsidR="000C3006">
        <w:rPr>
          <w:rFonts w:ascii="Times New Roman" w:hAnsi="Times New Roman" w:cs="Times New Roman"/>
          <w:sz w:val="24"/>
          <w:szCs w:val="24"/>
        </w:rPr>
        <w:fldChar w:fldCharType="end"/>
      </w:r>
      <w:r w:rsidRPr="009E1888">
        <w:rPr>
          <w:rFonts w:ascii="Times New Roman" w:hAnsi="Times New Roman" w:cs="Times New Roman"/>
          <w:sz w:val="24"/>
          <w:szCs w:val="24"/>
        </w:rPr>
      </w:r>
      <w:r w:rsidRPr="009E1888">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17</w:t>
      </w:r>
      <w:r w:rsidRPr="009E1888">
        <w:rPr>
          <w:rFonts w:ascii="Times New Roman" w:hAnsi="Times New Roman" w:cs="Times New Roman"/>
          <w:sz w:val="24"/>
          <w:szCs w:val="24"/>
        </w:rPr>
        <w:fldChar w:fldCharType="end"/>
      </w:r>
      <w:r w:rsidRPr="009E1888">
        <w:rPr>
          <w:rFonts w:ascii="Times New Roman" w:hAnsi="Times New Roman" w:cs="Times New Roman"/>
          <w:sz w:val="24"/>
          <w:szCs w:val="24"/>
        </w:rPr>
        <w:t xml:space="preserve">. Protein structures were prepared using BioDiscovery Studio 2020 software by removing water molecules and adding polar hydrogen atoms to ensure proper interaction modeling </w:t>
      </w:r>
      <w:r w:rsidRPr="009E1888">
        <w:rPr>
          <w:rFonts w:ascii="Times New Roman" w:hAnsi="Times New Roman" w:cs="Times New Roman"/>
          <w:sz w:val="24"/>
          <w:szCs w:val="24"/>
        </w:rPr>
        <w:fldChar w:fldCharType="begin"/>
      </w:r>
      <w:r w:rsidR="000C3006">
        <w:rPr>
          <w:rFonts w:ascii="Times New Roman" w:hAnsi="Times New Roman" w:cs="Times New Roman"/>
          <w:sz w:val="24"/>
          <w:szCs w:val="24"/>
        </w:rPr>
        <w:instrText xml:space="preserve"> ADDIN EN.CITE &lt;EndNote&gt;&lt;Cite&gt;&lt;Author&gt;Dallakyan&lt;/Author&gt;&lt;Year&gt;2015&lt;/Year&gt;&lt;RecNum&gt;112&lt;/RecNum&gt;&lt;DisplayText&gt;&lt;style face="superscript"&gt;18&lt;/style&gt;&lt;/DisplayText&gt;&lt;record&gt;&lt;rec-number&gt;112&lt;/rec-number&gt;&lt;foreign-keys&gt;&lt;key app="EN" db-id="df0p2xfske5tetew9t8vxfreatd9we2w259x" timestamp="1718256125"&gt;112&lt;/key&gt;&lt;/foreign-keys&gt;&lt;ref-type name="Journal Article"&gt;17&lt;/ref-type&gt;&lt;contributors&gt;&lt;authors&gt;&lt;author&gt;Dallakyan, S.&lt;/author&gt;&lt;author&gt;Olson, A. J.&lt;/author&gt;&lt;/authors&gt;&lt;/contributors&gt;&lt;auth-address&gt;Department of Integrative Structural and Computational Biology, The Scripps Research Institute, 10550 North Torrey Pines Road, La Jolla, CA, 92037-1000, USA, dallakyans@gmail.com.&lt;/auth-address&gt;&lt;titles&gt;&lt;title&gt;Small-molecule library screening by docking with PyRx&lt;/title&gt;&lt;secondary-title&gt;Methods Mol Biol&lt;/secondary-title&gt;&lt;/titles&gt;&lt;periodical&gt;&lt;full-title&gt;Methods Mol Biol&lt;/full-title&gt;&lt;/periodical&gt;&lt;pages&gt;243-50&lt;/pages&gt;&lt;volume&gt;1263&lt;/volume&gt;&lt;keywords&gt;&lt;keyword&gt;*Computer Simulation&lt;/keyword&gt;&lt;keyword&gt;*Computer-Aided Design&lt;/keyword&gt;&lt;keyword&gt;*Drug Design&lt;/keyword&gt;&lt;keyword&gt;*Molecular Docking Simulation/methods&lt;/keyword&gt;&lt;keyword&gt;*Small Molecule Libraries&lt;/keyword&gt;&lt;/keywords&gt;&lt;dates&gt;&lt;year&gt;2015&lt;/year&gt;&lt;/dates&gt;&lt;isbn&gt;1940-6029 (Electronic)&amp;#xD;1064-3745 (Linking)&lt;/isbn&gt;&lt;accession-num&gt;25618350&lt;/accession-num&gt;&lt;urls&gt;&lt;related-urls&gt;&lt;url&gt;https://www.ncbi.nlm.nih.gov/pubmed/25618350&lt;/url&gt;&lt;/related-urls&gt;&lt;/urls&gt;&lt;electronic-resource-num&gt;10.1007/978-1-4939-2269-7_19&lt;/electronic-resource-num&gt;&lt;/record&gt;&lt;/Cite&gt;&lt;/EndNote&gt;</w:instrText>
      </w:r>
      <w:r w:rsidRPr="009E1888">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18</w:t>
      </w:r>
      <w:r w:rsidRPr="009E1888">
        <w:rPr>
          <w:rFonts w:ascii="Times New Roman" w:hAnsi="Times New Roman" w:cs="Times New Roman"/>
          <w:sz w:val="24"/>
          <w:szCs w:val="24"/>
        </w:rPr>
        <w:fldChar w:fldCharType="end"/>
      </w:r>
      <w:r w:rsidRPr="009E1888">
        <w:rPr>
          <w:rFonts w:ascii="Times New Roman" w:hAnsi="Times New Roman" w:cs="Times New Roman"/>
          <w:sz w:val="24"/>
          <w:szCs w:val="24"/>
        </w:rPr>
        <w:t xml:space="preserve">. Ligands were prepared using Open Babel, including steps for energy minimization and conformer generation to ensure accurate docking results. PyRx utilizes the AutoDock Vina molecular docking engine, a well-known software for predicting ligand-receptor interactions. PyRx enhances the usability of AutoDock Vina through an intuitive interface and additional features </w:t>
      </w:r>
      <w:r w:rsidRPr="009E1888">
        <w:rPr>
          <w:rFonts w:ascii="Times New Roman" w:hAnsi="Times New Roman" w:cs="Times New Roman"/>
          <w:sz w:val="24"/>
          <w:szCs w:val="24"/>
        </w:rPr>
        <w:fldChar w:fldCharType="begin"/>
      </w:r>
      <w:r w:rsidR="000C3006">
        <w:rPr>
          <w:rFonts w:ascii="Times New Roman" w:hAnsi="Times New Roman" w:cs="Times New Roman"/>
          <w:sz w:val="24"/>
          <w:szCs w:val="24"/>
        </w:rPr>
        <w:instrText xml:space="preserve"> ADDIN EN.CITE &lt;EndNote&gt;&lt;Cite&gt;&lt;Author&gt;Trott&lt;/Author&gt;&lt;Year&gt;2010&lt;/Year&gt;&lt;RecNum&gt;113&lt;/RecNum&gt;&lt;DisplayText&gt;&lt;style face="superscript"&gt;19&lt;/style&gt;&lt;/DisplayText&gt;&lt;record&gt;&lt;rec-number&gt;113&lt;/rec-number&gt;&lt;foreign-keys&gt;&lt;key app="EN" db-id="df0p2xfske5tetew9t8vxfreatd9we2w259x" timestamp="1718256192"&gt;113&lt;/key&gt;&lt;/foreign-keys&gt;&lt;ref-type name="Journal Article"&gt;17&lt;/ref-type&gt;&lt;contributors&gt;&lt;authors&gt;&lt;author&gt;Trott, O.&lt;/author&gt;&lt;author&gt;Olson, A. J.&lt;/author&gt;&lt;/authors&gt;&lt;/contributors&gt;&lt;auth-address&gt;Department of Molecular Biology, The Scripps Research Institute, La Jolla, California, USA.&lt;/auth-address&gt;&lt;titles&gt;&lt;title&gt;AutoDock Vina: improving the speed and accuracy of docking with a new scoring function, efficient optimization, and multithreading&lt;/title&gt;&lt;secondary-title&gt;J Comput Chem&lt;/secondary-title&gt;&lt;/titles&gt;&lt;periodical&gt;&lt;full-title&gt;J Comput Chem&lt;/full-title&gt;&lt;/periodical&gt;&lt;pages&gt;455-61&lt;/pages&gt;&lt;volume&gt;31&lt;/volume&gt;&lt;number&gt;2&lt;/number&gt;&lt;keywords&gt;&lt;keyword&gt;Algorithms&lt;/keyword&gt;&lt;keyword&gt;Automation&lt;/keyword&gt;&lt;keyword&gt;Binding Sites&lt;/keyword&gt;&lt;keyword&gt;Computational Biology/*methods&lt;/keyword&gt;&lt;keyword&gt;Hydrogen Bonding&lt;/keyword&gt;&lt;keyword&gt;Hydrophobic and Hydrophilic Interactions&lt;/keyword&gt;&lt;keyword&gt;*Ligands&lt;/keyword&gt;&lt;keyword&gt;Molecular Dynamics Simulation&lt;/keyword&gt;&lt;keyword&gt;Sensitivity and Specificity&lt;/keyword&gt;&lt;keyword&gt;*Software&lt;/keyword&gt;&lt;keyword&gt;Solvents/chemistry&lt;/keyword&gt;&lt;keyword&gt;Thermodynamics&lt;/keyword&gt;&lt;keyword&gt;Time Factors&lt;/keyword&gt;&lt;/keywords&gt;&lt;dates&gt;&lt;year&gt;2010&lt;/year&gt;&lt;pub-dates&gt;&lt;date&gt;Jan 30&lt;/date&gt;&lt;/pub-dates&gt;&lt;/dates&gt;&lt;isbn&gt;1096-987X (Electronic)&amp;#xD;0192-8651 (Print)&amp;#xD;0192-8651 (Linking)&lt;/isbn&gt;&lt;accession-num&gt;19499576&lt;/accession-num&gt;&lt;urls&gt;&lt;related-urls&gt;&lt;url&gt;https://www.ncbi.nlm.nih.gov/pubmed/19499576&lt;/url&gt;&lt;/related-urls&gt;&lt;/urls&gt;&lt;custom2&gt;PMC3041641&lt;/custom2&gt;&lt;electronic-resource-num&gt;10.1002/jcc.21334&lt;/electronic-resource-num&gt;&lt;/record&gt;&lt;/Cite&gt;&lt;/EndNote&gt;</w:instrText>
      </w:r>
      <w:r w:rsidRPr="009E1888">
        <w:rPr>
          <w:rFonts w:ascii="Times New Roman" w:hAnsi="Times New Roman" w:cs="Times New Roman"/>
          <w:sz w:val="24"/>
          <w:szCs w:val="24"/>
        </w:rPr>
        <w:fldChar w:fldCharType="separate"/>
      </w:r>
      <w:r w:rsidR="000C3006" w:rsidRPr="000C3006">
        <w:rPr>
          <w:rFonts w:ascii="Times New Roman" w:hAnsi="Times New Roman" w:cs="Times New Roman"/>
          <w:noProof/>
          <w:sz w:val="24"/>
          <w:szCs w:val="24"/>
          <w:vertAlign w:val="superscript"/>
        </w:rPr>
        <w:t>19</w:t>
      </w:r>
      <w:r w:rsidRPr="009E1888">
        <w:rPr>
          <w:rFonts w:ascii="Times New Roman" w:hAnsi="Times New Roman" w:cs="Times New Roman"/>
          <w:sz w:val="24"/>
          <w:szCs w:val="24"/>
        </w:rPr>
        <w:fldChar w:fldCharType="end"/>
      </w:r>
      <w:r w:rsidRPr="009E1888">
        <w:rPr>
          <w:rFonts w:ascii="Times New Roman" w:hAnsi="Times New Roman" w:cs="Times New Roman"/>
          <w:sz w:val="24"/>
          <w:szCs w:val="24"/>
        </w:rPr>
        <w:t xml:space="preserve">. Docking parameters were set with a grid box size and center adjusted to cover the active site, and the exhaustiveness parameter was optimized for a balance between accuracy and computational efficiency. The top ten poses of each ligand were generated based on their docking scores. From these, the pose with the highest negative binding affinity score was chosen for further analysis, indicating the strongest predicted interaction. BioDiscovery Studio 2020 was employed to analyze the results, focusing on identifying the types of ligand interactions present at the active sites, such as hydrogen bonds, hydrophobic interactions, and electrostatic interactions. Docking binding energy was used to evaluate the potential of molecules to bind to target proteins associated with disease-related genes, specifically assessing their suitability as potential therapeutic agents. </w:t>
      </w:r>
    </w:p>
    <w:p w14:paraId="4942CA85" w14:textId="77777777" w:rsidR="00605EBD" w:rsidRDefault="00605EBD" w:rsidP="00605EBD">
      <w:pPr>
        <w:spacing w:after="0" w:line="240" w:lineRule="auto"/>
        <w:jc w:val="both"/>
        <w:rPr>
          <w:rFonts w:ascii="Times New Roman" w:hAnsi="Times New Roman" w:cs="Times New Roman"/>
          <w:sz w:val="24"/>
          <w:szCs w:val="24"/>
        </w:rPr>
      </w:pPr>
    </w:p>
    <w:p w14:paraId="226019C0" w14:textId="77777777" w:rsidR="00605EBD" w:rsidRPr="00E6612B" w:rsidRDefault="00605EBD" w:rsidP="00605EBD">
      <w:pPr>
        <w:jc w:val="both"/>
        <w:rPr>
          <w:rFonts w:ascii="Times New Roman" w:hAnsi="Times New Roman"/>
          <w:b/>
          <w:bCs/>
          <w:sz w:val="24"/>
        </w:rPr>
      </w:pPr>
      <w:bookmarkStart w:id="2" w:name="_Hlk187700800"/>
      <w:bookmarkStart w:id="3" w:name="_Hlk202123643"/>
      <w:r w:rsidRPr="00E6612B">
        <w:rPr>
          <w:rFonts w:ascii="Times New Roman" w:hAnsi="Times New Roman"/>
          <w:b/>
          <w:bCs/>
          <w:sz w:val="24"/>
        </w:rPr>
        <w:t xml:space="preserve">Molecular Dynamics Simulation </w:t>
      </w:r>
    </w:p>
    <w:p w14:paraId="5BC88E86" w14:textId="2AF9C246" w:rsidR="00605EBD" w:rsidRPr="00E6612B" w:rsidRDefault="00605EBD" w:rsidP="00605EBD">
      <w:pPr>
        <w:jc w:val="both"/>
        <w:rPr>
          <w:rFonts w:ascii="Times New Roman" w:hAnsi="Times New Roman"/>
          <w:sz w:val="24"/>
        </w:rPr>
      </w:pPr>
      <w:r w:rsidRPr="00E6612B">
        <w:rPr>
          <w:rFonts w:ascii="Times New Roman" w:hAnsi="Times New Roman"/>
          <w:sz w:val="24"/>
        </w:rPr>
        <w:t>Protein and protein-ligand complex microscopic stability is assessed using molecular dynamics, an advanced automated simulation method. Structure, function, fluctuation, interaction, and behavior is demonstrated to do this. The behavior of the seven complexes were investigated using GROMACS version 2025.1 for MD calculations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&lt;EndNote&gt;&lt;Cite&gt;&lt;Author&gt;Abraham&lt;/Author&gt;&lt;Year&gt;2015&lt;/Year&gt;&lt;RecNum&gt;196&lt;/RecNum&gt;&lt;DisplayText&gt;&lt;style face="superscript"&gt;20&lt;/style&gt;&lt;/DisplayText&gt;&lt;record&gt;&lt;rec-number&gt;196&lt;/rec-number&gt;&lt;foreign-keys&gt;&lt;key app="EN" db-id="df0p2xfske5tetew9t8vxfreatd9we2w259x" timestamp="1752553996"&gt;196&lt;/key&gt;&lt;/foreign-keys&gt;&lt;ref-type name="Journal Article"&gt;17&lt;/ref-type&gt;&lt;contributors&gt;&lt;authors&gt;&lt;author&gt;Abraham, M. J., Murtola, T., Schulz, R., Páll, S., Smith, J. C., Hess, B., &amp;amp; Lindahl, E..&lt;/author&gt;&lt;/authors&gt;&lt;/contributors&gt;&lt;titles&gt;&lt;title&gt;GROMACS: High performance molecular simulations through multi-level parallelism from laptops to supercomputers. &lt;/title&gt;&lt;secondary-title&gt;Softwarex&lt;/secondary-title&gt;&lt;/titles&gt;&lt;periodical&gt;&lt;full-title&gt;Softwarex&lt;/full-title&gt;&lt;/periodical&gt;&lt;pages&gt;19-25&lt;/pages&gt;&lt;volume&gt;1-2&lt;/volume&gt;&lt;dates&gt;&lt;year&gt;2015&lt;/year&gt;&lt;/dates&gt;&lt;urls&gt;&lt;/urls&gt;&lt;electronic-resource-num&gt; https://doi.org/10.1016/j.softx.2015.06.001&lt;/electronic-resource-num&gt;&lt;/record&gt;&lt;/Cite&gt;&lt;/EndNote&gt;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20</w:t>
      </w:r>
      <w:r>
        <w:rPr>
          <w:rFonts w:ascii="Times New Roman" w:hAnsi="Times New Roman"/>
          <w:sz w:val="24"/>
        </w:rPr>
        <w:fldChar w:fldCharType="end"/>
      </w:r>
      <w:r>
        <w:rPr>
          <w:rFonts w:ascii="Times New Roman" w:hAnsi="Times New Roman"/>
          <w:sz w:val="24"/>
        </w:rPr>
        <w:t xml:space="preserve">. </w:t>
      </w:r>
      <w:r w:rsidRPr="00E6612B">
        <w:rPr>
          <w:rFonts w:ascii="Times New Roman" w:hAnsi="Times New Roman"/>
          <w:sz w:val="24"/>
        </w:rPr>
        <w:t>CHARMM General Force Field parameterized protein content. The SwissParam server implemented ligand topologies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&lt;EndNote&gt;&lt;Cite&gt;&lt;Author&gt;Zoete&lt;/Author&gt;&lt;Year&gt;2011&lt;/Year&gt;&lt;RecNum&gt;197&lt;/RecNum&gt;&lt;DisplayText&gt;&lt;style face="superscript"&gt;21&lt;/style&gt;&lt;/DisplayText&gt;&lt;record&gt;&lt;rec-number&gt;197&lt;/rec-number&gt;&lt;foreign-keys&gt;&lt;key app="EN" db-id="df0p2xfske5tetew9t8vxfreatd9we2w259x" timestamp="1752554328"&gt;197&lt;/key&gt;&lt;/foreign-keys&gt;&lt;ref-type name="Journal Article"&gt;17&lt;/ref-type&gt;&lt;contributors&gt;&lt;authors&gt;&lt;author&gt;Zoete, V., Cuendet, M. A., Grosdidier, A., &amp;amp; Michielin, O. &lt;/author&gt;&lt;/authors&gt;&lt;/contributors&gt;&lt;titles&gt;&lt;title&gt;SwissParam: A fast force field generation tool for small organic molecules.&lt;/title&gt;&lt;secondary-title&gt;Journal of Computational Chemistry&lt;/secondary-title&gt;&lt;/titles&gt;&lt;periodical&gt;&lt;full-title&gt;Journal of Computational Chemistry&lt;/full-title&gt;&lt;/periodical&gt;&lt;pages&gt;2359-2368&lt;/pages&gt;&lt;volume&gt;32&lt;/volume&gt;&lt;number&gt;11&lt;/number&gt;&lt;dates&gt;&lt;year&gt;2011&lt;/year&gt;&lt;/dates&gt;&lt;urls&gt;&lt;/urls&gt;&lt;electronic-resource-num&gt;https://doi.org/10.1002/jcc.21816 &lt;/electronic-resource-num&gt;&lt;/record&gt;&lt;/Cite&gt;&lt;/EndNote&gt;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21</w:t>
      </w:r>
      <w:r>
        <w:rPr>
          <w:rFonts w:ascii="Times New Roman" w:hAnsi="Times New Roman"/>
          <w:sz w:val="24"/>
        </w:rPr>
        <w:fldChar w:fldCharType="end"/>
      </w:r>
      <w:r>
        <w:rPr>
          <w:rFonts w:ascii="Times New Roman" w:hAnsi="Times New Roman"/>
          <w:sz w:val="24"/>
        </w:rPr>
        <w:t xml:space="preserve">. </w:t>
      </w:r>
      <w:r w:rsidRPr="00E6612B">
        <w:rPr>
          <w:rFonts w:ascii="Times New Roman" w:hAnsi="Times New Roman"/>
          <w:sz w:val="24"/>
        </w:rPr>
        <w:t>The structures were vacuum minimized 2500 times using steepest descent to address steric issues. The SPC water model solvated the structure. After adding Na</w:t>
      </w:r>
      <w:r w:rsidRPr="0012474F">
        <w:rPr>
          <w:rFonts w:ascii="Times New Roman" w:hAnsi="Times New Roman"/>
          <w:sz w:val="24"/>
          <w:vertAlign w:val="superscript"/>
        </w:rPr>
        <w:t>+</w:t>
      </w:r>
      <w:r w:rsidRPr="00E6612B">
        <w:rPr>
          <w:rFonts w:ascii="Times New Roman" w:hAnsi="Times New Roman"/>
          <w:sz w:val="24"/>
        </w:rPr>
        <w:t xml:space="preserve"> and Cl</w:t>
      </w:r>
      <w:r w:rsidRPr="0012474F">
        <w:rPr>
          <w:rFonts w:ascii="Times New Roman" w:hAnsi="Times New Roman"/>
          <w:sz w:val="24"/>
          <w:vertAlign w:val="superscript"/>
        </w:rPr>
        <w:t>-</w:t>
      </w:r>
      <w:r w:rsidRPr="00E6612B">
        <w:rPr>
          <w:rFonts w:ascii="Times New Roman" w:hAnsi="Times New Roman"/>
          <w:sz w:val="24"/>
        </w:rPr>
        <w:t xml:space="preserve"> ions, the gmx genion instrument balanced the system. This was done to ensure system electrical neutrality. After minimization, MD simulations went into production, NVT, and NPT. Two</w:t>
      </w:r>
      <w:r>
        <w:rPr>
          <w:rFonts w:ascii="Times New Roman" w:hAnsi="Times New Roman"/>
          <w:sz w:val="24"/>
        </w:rPr>
        <w:t xml:space="preserve"> </w:t>
      </w:r>
      <w:r w:rsidRPr="00E6612B">
        <w:rPr>
          <w:rFonts w:ascii="Times New Roman" w:hAnsi="Times New Roman"/>
          <w:sz w:val="24"/>
        </w:rPr>
        <w:t>phases balanced the systems. First, a 100 picosecond NVT equilibration was done to maintain particle number, volume, and temperature. The procedure aimed to raise system temperature to 300 kelvin. The second stage involved a precise 100 picosecond NPT equilibration to achieve temperature, pressure, and particle number homogeneity. It was essential to maintain system density and pressure. The protein group's location was limited by bond limitations on all bonds during simulations. The system entropy reduced because NVT and NPT restricted water molecules around the protein, relaxing them. Parrinello-Rahman barostat method and v-rescale thermostat for molecular dynamics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&lt;EndNote&gt;&lt;Cite&gt;&lt;Author&gt;Ke&lt;/Author&gt;&lt;Year&gt;2022&lt;/Year&gt;&lt;RecNum&gt;198&lt;/RecNum&gt;&lt;DisplayText&gt;&lt;style face="superscript"&gt;22&lt;/style&gt;&lt;/DisplayText&gt;&lt;record&gt;&lt;rec-number&gt;198&lt;/rec-number&gt;&lt;foreign-keys&gt;&lt;key app="EN" db-id="df0p2xfske5tetew9t8vxfreatd9we2w259x" timestamp="1752560921"&gt;198&lt;/key&gt;&lt;/foreign-keys&gt;&lt;ref-type name="Journal Article"&gt;17&lt;/ref-type&gt;&lt;contributors&gt;&lt;authors&gt;&lt;author&gt;Ke, Q., Gong, X., Liao, S., Duan, C., &amp;amp; Li, L. &lt;/author&gt;&lt;/authors&gt;&lt;/contributors&gt;&lt;titles&gt;&lt;title&gt;Effects of thermostats/barostats on physical properties of liquids by molecular dynamics simulations&lt;/title&gt;&lt;secondary-title&gt;Journal of Molecular Liquids&lt;/secondary-title&gt;&lt;/titles&gt;&lt;periodical&gt;&lt;full-title&gt;Journal of Molecular Liquids&lt;/full-title&gt;&lt;/periodical&gt;&lt;pages&gt;120116&lt;/pages&gt;&lt;volume&gt;365&lt;/volume&gt;&lt;dates&gt;&lt;year&gt;2022&lt;/year&gt;&lt;/dates&gt;&lt;urls&gt;&lt;/urls&gt;&lt;electronic-resource-num&gt;https://doi.org/10.1016/j.molliq.2022.120116&lt;/electronic-resource-num&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22</w:t>
      </w:r>
      <w:r>
        <w:rPr>
          <w:rFonts w:ascii="Times New Roman" w:hAnsi="Times New Roman"/>
          <w:sz w:val="24"/>
        </w:rPr>
        <w:fldChar w:fldCharType="end"/>
      </w:r>
      <w:r>
        <w:rPr>
          <w:rFonts w:ascii="Times New Roman" w:hAnsi="Times New Roman"/>
          <w:sz w:val="24"/>
        </w:rPr>
        <w:t>.</w:t>
      </w:r>
      <w:r w:rsidRPr="00E6612B">
        <w:rPr>
          <w:rFonts w:ascii="Times New Roman" w:hAnsi="Times New Roman"/>
          <w:sz w:val="24"/>
        </w:rPr>
        <w:t>The thermostat and barostat were adjusted for 100 picoseconds. To constrain covalent bonding, the Linear Constraint Solver application was used. Chemical bond interactions were handled using the sophisticated (Particle-Mesh Ewald) or PME approach. Every system has a 100-ns production run after equilibrium.</w:t>
      </w:r>
    </w:p>
    <w:p w14:paraId="3810983A" w14:textId="77777777" w:rsidR="00605EBD" w:rsidRPr="00E6612B" w:rsidRDefault="00605EBD" w:rsidP="00605EBD">
      <w:pPr>
        <w:jc w:val="both"/>
        <w:rPr>
          <w:rFonts w:ascii="Times New Roman" w:hAnsi="Times New Roman"/>
          <w:sz w:val="24"/>
        </w:rPr>
      </w:pPr>
    </w:p>
    <w:p w14:paraId="6FACB1F9"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 xml:space="preserve">Root Mean Square Deviation (RMSD) </w:t>
      </w:r>
    </w:p>
    <w:p w14:paraId="4F34938B" w14:textId="77777777" w:rsidR="00605EBD" w:rsidRDefault="00605EBD" w:rsidP="00605EBD">
      <w:pPr>
        <w:jc w:val="both"/>
        <w:rPr>
          <w:rFonts w:ascii="Times New Roman" w:hAnsi="Times New Roman"/>
          <w:sz w:val="24"/>
        </w:rPr>
      </w:pPr>
      <w:r w:rsidRPr="00E6612B">
        <w:rPr>
          <w:rFonts w:ascii="Times New Roman" w:hAnsi="Times New Roman"/>
          <w:sz w:val="24"/>
        </w:rPr>
        <w:t>RMSD is a metric that quantifies the distance between frames. It is determined for every profile frame. The root mean square deviation of frame x is calculated.</w:t>
      </w:r>
    </w:p>
    <w:p w14:paraId="2F0D1F87" w14:textId="77777777" w:rsidR="00605EBD" w:rsidRPr="008F75E1" w:rsidRDefault="00605EBD" w:rsidP="00605EBD">
      <w:pPr>
        <w:jc w:val="right"/>
        <w:rPr>
          <w:rFonts w:ascii="Times New Roman" w:hAnsi="Times New Roman"/>
          <w:sz w:val="24"/>
        </w:rPr>
      </w:pPr>
      <w:r w:rsidRPr="00E6612B">
        <w:rPr>
          <w:rFonts w:ascii="Times New Roman" w:hAnsi="Times New Roman"/>
          <w:i/>
          <w:sz w:val="24"/>
        </w:rPr>
        <w:br/>
      </w:r>
      <w:bookmarkStart w:id="4" w:name="_Hlk204196285"/>
      <m:oMath>
        <m:sSub>
          <m:sSubPr>
            <m:ctrlPr>
              <w:rPr>
                <w:rFonts w:ascii="Cambria Math" w:hAnsi="Cambria Math"/>
                <w:sz w:val="24"/>
              </w:rPr>
            </m:ctrlPr>
          </m:sSubPr>
          <m:e>
            <m:r>
              <w:rPr>
                <w:rFonts w:ascii="Cambria Math" w:hAnsi="Cambria Math"/>
                <w:sz w:val="24"/>
              </w:rPr>
              <m:t>RMSD</m:t>
            </m:r>
          </m:e>
          <m:sub>
            <m:r>
              <w:rPr>
                <w:rFonts w:ascii="Cambria Math" w:hAnsi="Cambria Math"/>
                <w:sz w:val="24"/>
              </w:rPr>
              <m:t>X</m:t>
            </m:r>
          </m:sub>
        </m:sSub>
        <m:r>
          <w:rPr>
            <w:rFonts w:ascii="Cambria Math" w:hAnsi="Cambria Math"/>
            <w:sz w:val="24"/>
          </w:rPr>
          <m:t>=</m:t>
        </m:r>
        <m:rad>
          <m:radPr>
            <m:degHide m:val="1"/>
            <m:ctrlPr>
              <w:rPr>
                <w:rFonts w:ascii="Cambria Math" w:hAnsi="Cambria Math"/>
                <w:sz w:val="24"/>
              </w:rPr>
            </m:ctrlPr>
          </m:radPr>
          <m:deg/>
          <m:e>
            <m:f>
              <m:fPr>
                <m:ctrlPr>
                  <w:rPr>
                    <w:rFonts w:ascii="Cambria Math" w:hAnsi="Cambria Math"/>
                    <w:sz w:val="24"/>
                  </w:rPr>
                </m:ctrlPr>
              </m:fPr>
              <m:num>
                <m:r>
                  <w:rPr>
                    <w:rFonts w:ascii="Cambria Math" w:hAnsi="Cambria Math"/>
                    <w:sz w:val="24"/>
                  </w:rPr>
                  <m:t>1</m:t>
                </m:r>
              </m:num>
              <m:den>
                <m:r>
                  <w:rPr>
                    <w:rFonts w:ascii="Cambria Math" w:hAnsi="Cambria Math"/>
                    <w:sz w:val="24"/>
                  </w:rPr>
                  <m:t>N</m:t>
                </m:r>
              </m:den>
            </m:f>
            <m:nary>
              <m:naryPr>
                <m:chr m:val="∑"/>
                <m:ctrlPr>
                  <w:rPr>
                    <w:rFonts w:ascii="Cambria Math" w:hAnsi="Cambria Math"/>
                    <w:sz w:val="24"/>
                  </w:rPr>
                </m:ctrlPr>
              </m:naryPr>
              <m:sub>
                <m:r>
                  <w:rPr>
                    <w:rFonts w:ascii="Cambria Math" w:hAnsi="Cambria Math"/>
                    <w:sz w:val="24"/>
                  </w:rPr>
                  <m:t>I=1</m:t>
                </m:r>
              </m:sub>
              <m:sup>
                <m:r>
                  <w:rPr>
                    <w:rFonts w:ascii="Cambria Math" w:hAnsi="Cambria Math"/>
                    <w:sz w:val="24"/>
                  </w:rPr>
                  <m:t>N</m:t>
                </m:r>
              </m:sup>
              <m:e>
                <m:sSup>
                  <m:sSupPr>
                    <m:ctrlPr>
                      <w:rPr>
                        <w:rFonts w:ascii="Cambria Math" w:hAnsi="Cambria Math"/>
                        <w:sz w:val="24"/>
                      </w:rPr>
                    </m:ctrlPr>
                  </m:sSupPr>
                  <m:e>
                    <m:d>
                      <m:dPr>
                        <m:ctrlPr>
                          <w:rPr>
                            <w:rFonts w:ascii="Cambria Math" w:hAnsi="Cambria Math"/>
                            <w:sz w:val="24"/>
                          </w:rPr>
                        </m:ctrlPr>
                      </m:dPr>
                      <m:e>
                        <m:sSubSup>
                          <m:sSubSupPr>
                            <m:ctrlPr>
                              <w:rPr>
                                <w:rFonts w:ascii="Cambria Math" w:hAnsi="Cambria Math"/>
                                <w:sz w:val="24"/>
                              </w:rPr>
                            </m:ctrlPr>
                          </m:sSubSupPr>
                          <m:e>
                            <m:r>
                              <w:rPr>
                                <w:rFonts w:ascii="Cambria Math" w:hAnsi="Cambria Math"/>
                                <w:sz w:val="24"/>
                              </w:rPr>
                              <m:t>r</m:t>
                            </m:r>
                          </m:e>
                          <m:sub>
                            <m:r>
                              <w:rPr>
                                <w:rFonts w:ascii="Cambria Math" w:hAnsi="Cambria Math"/>
                                <w:sz w:val="24"/>
                              </w:rPr>
                              <m:t>i</m:t>
                            </m:r>
                          </m:sub>
                          <m:sup>
                            <m:r>
                              <w:rPr>
                                <w:rFonts w:ascii="Cambria Math" w:hAnsi="Cambria Math"/>
                                <w:sz w:val="24"/>
                              </w:rPr>
                              <m:t>'</m:t>
                            </m:r>
                          </m:sup>
                        </m:sSubSup>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t</m:t>
                                </m:r>
                              </m:e>
                              <m:sub>
                                <m:r>
                                  <w:rPr>
                                    <w:rFonts w:ascii="Cambria Math" w:hAnsi="Cambria Math"/>
                                    <w:sz w:val="24"/>
                                  </w:rPr>
                                  <m:t>x</m:t>
                                </m:r>
                              </m:sub>
                            </m:sSub>
                          </m:e>
                        </m:d>
                      </m:e>
                    </m:d>
                    <m:r>
                      <w:rPr>
                        <w:rFonts w:ascii="Cambria Math" w:hAnsi="Cambria Math"/>
                        <w:sz w:val="24"/>
                      </w:rPr>
                      <m:t>-</m:t>
                    </m:r>
                    <m:sSub>
                      <m:sSubPr>
                        <m:ctrlPr>
                          <w:rPr>
                            <w:rFonts w:ascii="Cambria Math" w:hAnsi="Cambria Math"/>
                            <w:sz w:val="24"/>
                          </w:rPr>
                        </m:ctrlPr>
                      </m:sSubPr>
                      <m:e>
                        <m:r>
                          <w:rPr>
                            <w:rFonts w:ascii="Cambria Math" w:hAnsi="Cambria Math"/>
                            <w:sz w:val="24"/>
                          </w:rPr>
                          <m:t>r</m:t>
                        </m:r>
                      </m:e>
                      <m:sub>
                        <m:r>
                          <w:rPr>
                            <w:rFonts w:ascii="Cambria Math" w:hAnsi="Cambria Math"/>
                            <w:sz w:val="24"/>
                          </w:rPr>
                          <m:t>i</m:t>
                        </m:r>
                      </m:sub>
                    </m:sSub>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t</m:t>
                            </m:r>
                          </m:e>
                          <m:sub>
                            <m:r>
                              <w:rPr>
                                <w:rFonts w:ascii="Cambria Math" w:hAnsi="Cambria Math"/>
                                <w:sz w:val="24"/>
                              </w:rPr>
                              <m:t>ref</m:t>
                            </m:r>
                          </m:sub>
                        </m:sSub>
                      </m:e>
                    </m:d>
                  </m:e>
                  <m:sup>
                    <m:r>
                      <w:rPr>
                        <w:rFonts w:ascii="Cambria Math" w:hAnsi="Cambria Math"/>
                        <w:sz w:val="24"/>
                      </w:rPr>
                      <m:t>2</m:t>
                    </m:r>
                  </m:sup>
                </m:sSup>
              </m:e>
            </m:nary>
          </m:e>
        </m:rad>
      </m:oMath>
      <w:bookmarkEnd w:id="4"/>
      <w:r>
        <w:rPr>
          <w:rFonts w:ascii="Times New Roman" w:eastAsiaTheme="minorEastAsia" w:hAnsi="Times New Roman"/>
          <w:i/>
          <w:sz w:val="24"/>
        </w:rPr>
        <w:tab/>
      </w:r>
      <w:r>
        <w:rPr>
          <w:rFonts w:ascii="Times New Roman" w:eastAsiaTheme="minorEastAsia" w:hAnsi="Times New Roman"/>
          <w:i/>
          <w:sz w:val="24"/>
        </w:rPr>
        <w:tab/>
      </w:r>
      <w:r>
        <w:rPr>
          <w:rFonts w:ascii="Times New Roman" w:eastAsiaTheme="minorEastAsia" w:hAnsi="Times New Roman"/>
          <w:i/>
          <w:sz w:val="24"/>
        </w:rPr>
        <w:tab/>
      </w:r>
      <w:r>
        <w:rPr>
          <w:rFonts w:ascii="Times New Roman" w:eastAsiaTheme="minorEastAsia" w:hAnsi="Times New Roman"/>
          <w:i/>
          <w:sz w:val="24"/>
        </w:rPr>
        <w:tab/>
      </w:r>
      <w:r>
        <w:rPr>
          <w:rFonts w:ascii="Times New Roman" w:eastAsiaTheme="minorEastAsia" w:hAnsi="Times New Roman"/>
          <w:i/>
          <w:sz w:val="24"/>
        </w:rPr>
        <w:tab/>
      </w:r>
      <w:r w:rsidRPr="00B05B4F">
        <w:rPr>
          <w:rFonts w:ascii="Times New Roman" w:eastAsiaTheme="minorEastAsia" w:hAnsi="Times New Roman"/>
          <w:iCs/>
          <w:sz w:val="24"/>
        </w:rPr>
        <w:t>(1)</w:t>
      </w:r>
    </w:p>
    <w:p w14:paraId="257F4454" w14:textId="77777777" w:rsidR="00605EBD" w:rsidRDefault="00605EBD" w:rsidP="00605EBD">
      <w:pPr>
        <w:jc w:val="both"/>
        <w:rPr>
          <w:rFonts w:ascii="Times New Roman" w:hAnsi="Times New Roman"/>
          <w:sz w:val="24"/>
        </w:rPr>
      </w:pPr>
      <w:r w:rsidRPr="00E6612B">
        <w:rPr>
          <w:rFonts w:ascii="Times New Roman" w:hAnsi="Times New Roman"/>
          <w:sz w:val="24"/>
        </w:rPr>
        <w:t>The chosen set contains a total of N atoms. The reference time, t ref, is typically set to the first frame, t</w:t>
      </w:r>
      <w:r>
        <w:rPr>
          <w:rFonts w:ascii="Times New Roman" w:hAnsi="Times New Roman"/>
          <w:sz w:val="24"/>
        </w:rPr>
        <w:t>=</w:t>
      </w:r>
      <w:r w:rsidRPr="00E6612B">
        <w:rPr>
          <w:rFonts w:ascii="Times New Roman" w:hAnsi="Times New Roman"/>
          <w:sz w:val="24"/>
        </w:rPr>
        <w:t xml:space="preserve">0. The position of the chosen atoms in frame x, after reference frame alignment, is denoted as r'. Frame x is associated with capture time t x. All simulation trajectory frames are handled with expertise. The MD trajectory parameters were analyzed using XmGrace.  </w:t>
      </w:r>
    </w:p>
    <w:p w14:paraId="1E6D0C88" w14:textId="77777777" w:rsidR="00605EBD" w:rsidRPr="00E6612B" w:rsidRDefault="00000000" w:rsidP="00605EBD">
      <w:pPr>
        <w:jc w:val="right"/>
        <w:rPr>
          <w:rFonts w:ascii="Times New Roman" w:hAnsi="Times New Roman"/>
          <w:sz w:val="24"/>
        </w:rPr>
      </w:pPr>
      <m:oMath>
        <m:sSub>
          <m:sSubPr>
            <m:ctrlPr>
              <w:rPr>
                <w:rFonts w:ascii="Cambria Math" w:hAnsi="Cambria Math"/>
                <w:sz w:val="24"/>
              </w:rPr>
            </m:ctrlPr>
          </m:sSubPr>
          <m:e>
            <m:r>
              <w:rPr>
                <w:rFonts w:ascii="Cambria Math" w:hAnsi="Cambria Math"/>
                <w:sz w:val="24"/>
              </w:rPr>
              <m:t>RMSD</m:t>
            </m:r>
          </m:e>
          <m:sub>
            <m:r>
              <w:rPr>
                <w:rFonts w:ascii="Cambria Math" w:hAnsi="Cambria Math"/>
                <w:sz w:val="24"/>
              </w:rPr>
              <m:t>X</m:t>
            </m:r>
          </m:sub>
        </m:sSub>
        <m:r>
          <w:rPr>
            <w:rFonts w:ascii="Cambria Math" w:hAnsi="Cambria Math"/>
            <w:sz w:val="24"/>
          </w:rPr>
          <m:t>=</m:t>
        </m:r>
        <m:rad>
          <m:radPr>
            <m:degHide m:val="1"/>
            <m:ctrlPr>
              <w:rPr>
                <w:rFonts w:ascii="Cambria Math" w:hAnsi="Cambria Math"/>
                <w:sz w:val="24"/>
              </w:rPr>
            </m:ctrlPr>
          </m:radPr>
          <m:deg/>
          <m:e>
            <m:f>
              <m:fPr>
                <m:ctrlPr>
                  <w:rPr>
                    <w:rFonts w:ascii="Cambria Math" w:hAnsi="Cambria Math"/>
                    <w:sz w:val="24"/>
                  </w:rPr>
                </m:ctrlPr>
              </m:fPr>
              <m:num>
                <m:r>
                  <w:rPr>
                    <w:rFonts w:ascii="Cambria Math" w:hAnsi="Cambria Math"/>
                    <w:sz w:val="24"/>
                  </w:rPr>
                  <m:t>1</m:t>
                </m:r>
              </m:num>
              <m:den>
                <m:r>
                  <w:rPr>
                    <w:rFonts w:ascii="Cambria Math" w:hAnsi="Cambria Math"/>
                    <w:sz w:val="24"/>
                  </w:rPr>
                  <m:t>N</m:t>
                </m:r>
              </m:den>
            </m:f>
            <m:nary>
              <m:naryPr>
                <m:chr m:val="∑"/>
                <m:ctrlPr>
                  <w:rPr>
                    <w:rFonts w:ascii="Cambria Math" w:hAnsi="Cambria Math"/>
                    <w:sz w:val="24"/>
                  </w:rPr>
                </m:ctrlPr>
              </m:naryPr>
              <m:sub>
                <m:r>
                  <w:rPr>
                    <w:rFonts w:ascii="Cambria Math" w:hAnsi="Cambria Math"/>
                    <w:sz w:val="24"/>
                  </w:rPr>
                  <m:t>I=1</m:t>
                </m:r>
              </m:sub>
              <m:sup>
                <m:r>
                  <w:rPr>
                    <w:rFonts w:ascii="Cambria Math" w:hAnsi="Cambria Math"/>
                    <w:sz w:val="24"/>
                  </w:rPr>
                  <m:t>N</m:t>
                </m:r>
              </m:sup>
              <m:e>
                <m:sSup>
                  <m:sSupPr>
                    <m:ctrlPr>
                      <w:rPr>
                        <w:rFonts w:ascii="Cambria Math" w:hAnsi="Cambria Math"/>
                        <w:sz w:val="24"/>
                      </w:rPr>
                    </m:ctrlPr>
                  </m:sSupPr>
                  <m:e>
                    <m:d>
                      <m:dPr>
                        <m:ctrlPr>
                          <w:rPr>
                            <w:rFonts w:ascii="Cambria Math" w:hAnsi="Cambria Math"/>
                            <w:sz w:val="24"/>
                          </w:rPr>
                        </m:ctrlPr>
                      </m:dPr>
                      <m:e>
                        <m:sSubSup>
                          <m:sSubSupPr>
                            <m:ctrlPr>
                              <w:rPr>
                                <w:rFonts w:ascii="Cambria Math" w:hAnsi="Cambria Math"/>
                                <w:sz w:val="24"/>
                              </w:rPr>
                            </m:ctrlPr>
                          </m:sSubSupPr>
                          <m:e>
                            <m:r>
                              <w:rPr>
                                <w:rFonts w:ascii="Cambria Math" w:hAnsi="Cambria Math"/>
                                <w:sz w:val="24"/>
                              </w:rPr>
                              <m:t>r</m:t>
                            </m:r>
                          </m:e>
                          <m:sub>
                            <m:r>
                              <w:rPr>
                                <w:rFonts w:ascii="Cambria Math" w:hAnsi="Cambria Math"/>
                                <w:sz w:val="24"/>
                              </w:rPr>
                              <m:t>i</m:t>
                            </m:r>
                          </m:sub>
                          <m:sup>
                            <m:r>
                              <w:rPr>
                                <w:rFonts w:ascii="Cambria Math" w:hAnsi="Cambria Math"/>
                                <w:sz w:val="24"/>
                              </w:rPr>
                              <m:t>'</m:t>
                            </m:r>
                          </m:sup>
                        </m:sSubSup>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t</m:t>
                                </m:r>
                              </m:e>
                              <m:sub>
                                <m:r>
                                  <w:rPr>
                                    <w:rFonts w:ascii="Cambria Math" w:hAnsi="Cambria Math"/>
                                    <w:sz w:val="24"/>
                                  </w:rPr>
                                  <m:t>x</m:t>
                                </m:r>
                              </m:sub>
                            </m:sSub>
                          </m:e>
                        </m:d>
                      </m:e>
                    </m:d>
                    <m:r>
                      <w:rPr>
                        <w:rFonts w:ascii="Cambria Math" w:hAnsi="Cambria Math"/>
                        <w:sz w:val="24"/>
                      </w:rPr>
                      <m:t>-</m:t>
                    </m:r>
                    <m:sSub>
                      <m:sSubPr>
                        <m:ctrlPr>
                          <w:rPr>
                            <w:rFonts w:ascii="Cambria Math" w:hAnsi="Cambria Math"/>
                            <w:sz w:val="24"/>
                          </w:rPr>
                        </m:ctrlPr>
                      </m:sSubPr>
                      <m:e>
                        <m:r>
                          <w:rPr>
                            <w:rFonts w:ascii="Cambria Math" w:hAnsi="Cambria Math"/>
                            <w:sz w:val="24"/>
                          </w:rPr>
                          <m:t>r</m:t>
                        </m:r>
                      </m:e>
                      <m:sub>
                        <m:r>
                          <w:rPr>
                            <w:rFonts w:ascii="Cambria Math" w:hAnsi="Cambria Math"/>
                            <w:sz w:val="24"/>
                          </w:rPr>
                          <m:t>i</m:t>
                        </m:r>
                      </m:sub>
                    </m:sSub>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t</m:t>
                            </m:r>
                          </m:e>
                          <m:sub>
                            <m:r>
                              <w:rPr>
                                <w:rFonts w:ascii="Cambria Math" w:hAnsi="Cambria Math"/>
                                <w:sz w:val="24"/>
                              </w:rPr>
                              <m:t>ref</m:t>
                            </m:r>
                          </m:sub>
                        </m:sSub>
                      </m:e>
                    </m:d>
                  </m:e>
                  <m:sup>
                    <m:r>
                      <w:rPr>
                        <w:rFonts w:ascii="Cambria Math" w:hAnsi="Cambria Math"/>
                        <w:sz w:val="24"/>
                      </w:rPr>
                      <m:t>2</m:t>
                    </m:r>
                  </m:sup>
                </m:sSup>
              </m:e>
            </m:nary>
          </m:e>
        </m:rad>
      </m:oMath>
      <w:r w:rsidR="00605EBD">
        <w:rPr>
          <w:rFonts w:ascii="Times New Roman" w:eastAsiaTheme="minorEastAsia" w:hAnsi="Times New Roman"/>
          <w:sz w:val="24"/>
        </w:rPr>
        <w:tab/>
      </w:r>
      <w:r w:rsidR="00605EBD">
        <w:rPr>
          <w:rFonts w:ascii="Times New Roman" w:eastAsiaTheme="minorEastAsia" w:hAnsi="Times New Roman"/>
          <w:sz w:val="24"/>
        </w:rPr>
        <w:tab/>
      </w:r>
      <w:r w:rsidR="00605EBD">
        <w:rPr>
          <w:rFonts w:ascii="Times New Roman" w:eastAsiaTheme="minorEastAsia" w:hAnsi="Times New Roman"/>
          <w:sz w:val="24"/>
        </w:rPr>
        <w:tab/>
      </w:r>
      <w:r w:rsidR="00605EBD">
        <w:rPr>
          <w:rFonts w:ascii="Times New Roman" w:eastAsiaTheme="minorEastAsia" w:hAnsi="Times New Roman"/>
          <w:sz w:val="24"/>
        </w:rPr>
        <w:tab/>
      </w:r>
      <w:r w:rsidR="00605EBD">
        <w:rPr>
          <w:rFonts w:ascii="Times New Roman" w:eastAsiaTheme="minorEastAsia" w:hAnsi="Times New Roman"/>
          <w:sz w:val="24"/>
        </w:rPr>
        <w:tab/>
        <w:t>(2)</w:t>
      </w:r>
    </w:p>
    <w:p w14:paraId="588671DB" w14:textId="77777777" w:rsidR="00605EBD" w:rsidRDefault="00605EBD" w:rsidP="00605EBD">
      <w:pPr>
        <w:jc w:val="both"/>
        <w:rPr>
          <w:rFonts w:ascii="Times New Roman" w:hAnsi="Times New Roman"/>
          <w:sz w:val="24"/>
        </w:rPr>
      </w:pPr>
    </w:p>
    <w:p w14:paraId="38CABE18"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Root Mean Square Fluctuation (RMSF)</w:t>
      </w:r>
    </w:p>
    <w:p w14:paraId="54EB68E6" w14:textId="77777777" w:rsidR="00605EBD" w:rsidRPr="00E6612B" w:rsidRDefault="00605EBD" w:rsidP="00605EBD">
      <w:pPr>
        <w:jc w:val="both"/>
        <w:rPr>
          <w:rFonts w:ascii="Times New Roman" w:hAnsi="Times New Roman"/>
          <w:sz w:val="24"/>
        </w:rPr>
      </w:pPr>
      <w:r w:rsidRPr="00E6612B">
        <w:rPr>
          <w:rFonts w:ascii="Times New Roman" w:hAnsi="Times New Roman"/>
          <w:sz w:val="24"/>
        </w:rPr>
        <w:t>RMSF values can be used to determine the local flexibility based on residue displacements during the MD simulation. The Root Mean Square Fluctuation (RMSF) is useful for characterizing local changes along the protein chain. The RMSF for residue i is:</w:t>
      </w:r>
    </w:p>
    <w:p w14:paraId="662412A6" w14:textId="77777777" w:rsidR="00605EBD" w:rsidRPr="00E6612B" w:rsidRDefault="00605EBD" w:rsidP="00605EBD">
      <w:pPr>
        <w:jc w:val="both"/>
        <w:rPr>
          <w:rFonts w:ascii="Times New Roman" w:hAnsi="Times New Roman"/>
          <w:sz w:val="24"/>
        </w:rPr>
      </w:pPr>
    </w:p>
    <w:p w14:paraId="10EC5501" w14:textId="77777777" w:rsidR="00605EBD" w:rsidRPr="00E6612B" w:rsidRDefault="00000000" w:rsidP="00605EBD">
      <w:pPr>
        <w:jc w:val="right"/>
        <w:rPr>
          <w:rFonts w:ascii="Times New Roman" w:hAnsi="Times New Roman"/>
          <w:sz w:val="24"/>
        </w:rPr>
      </w:pPr>
      <m:oMath>
        <m:sSub>
          <m:sSubPr>
            <m:ctrlPr>
              <w:rPr>
                <w:rFonts w:ascii="Cambria Math" w:hAnsi="Cambria Math"/>
                <w:sz w:val="24"/>
              </w:rPr>
            </m:ctrlPr>
          </m:sSubPr>
          <m:e>
            <m:r>
              <w:rPr>
                <w:rFonts w:ascii="Cambria Math" w:hAnsi="Cambria Math"/>
                <w:sz w:val="24"/>
              </w:rPr>
              <m:t>RMSF</m:t>
            </m:r>
          </m:e>
          <m:sub>
            <m:r>
              <w:rPr>
                <w:rFonts w:ascii="Cambria Math" w:hAnsi="Cambria Math"/>
                <w:sz w:val="24"/>
              </w:rPr>
              <m:t>I</m:t>
            </m:r>
          </m:sub>
        </m:sSub>
        <m:r>
          <w:rPr>
            <w:rFonts w:ascii="Cambria Math" w:hAnsi="Cambria Math"/>
            <w:sz w:val="24"/>
          </w:rPr>
          <m:t>=</m:t>
        </m:r>
        <m:rad>
          <m:radPr>
            <m:degHide m:val="1"/>
            <m:ctrlPr>
              <w:rPr>
                <w:rFonts w:ascii="Cambria Math" w:hAnsi="Cambria Math"/>
                <w:sz w:val="24"/>
              </w:rPr>
            </m:ctrlPr>
          </m:radPr>
          <m:deg/>
          <m:e>
            <m:f>
              <m:fPr>
                <m:ctrlPr>
                  <w:rPr>
                    <w:rFonts w:ascii="Cambria Math" w:hAnsi="Cambria Math"/>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sz w:val="24"/>
                  </w:rPr>
                </m:ctrlPr>
              </m:naryPr>
              <m:sub>
                <m:r>
                  <w:rPr>
                    <w:rFonts w:ascii="Cambria Math" w:hAnsi="Cambria Math"/>
                    <w:sz w:val="24"/>
                  </w:rPr>
                  <m:t>I=1</m:t>
                </m:r>
              </m:sub>
              <m:sup>
                <m:r>
                  <w:rPr>
                    <w:rFonts w:ascii="Cambria Math" w:hAnsi="Cambria Math"/>
                    <w:sz w:val="24"/>
                  </w:rPr>
                  <m:t>T</m:t>
                </m:r>
              </m:sup>
              <m:e>
                <m:sSup>
                  <m:sSupPr>
                    <m:ctrlPr>
                      <w:rPr>
                        <w:rFonts w:ascii="Cambria Math" w:hAnsi="Cambria Math"/>
                        <w:sz w:val="24"/>
                      </w:rPr>
                    </m:ctrlPr>
                  </m:sSupPr>
                  <m:e>
                    <m:d>
                      <m:dPr>
                        <m:ctrlPr>
                          <w:rPr>
                            <w:rFonts w:ascii="Cambria Math" w:hAnsi="Cambria Math"/>
                            <w:sz w:val="24"/>
                          </w:rPr>
                        </m:ctrlPr>
                      </m:dPr>
                      <m:e>
                        <m:sSubSup>
                          <m:sSubSupPr>
                            <m:ctrlPr>
                              <w:rPr>
                                <w:rFonts w:ascii="Cambria Math" w:hAnsi="Cambria Math"/>
                                <w:sz w:val="24"/>
                              </w:rPr>
                            </m:ctrlPr>
                          </m:sSubSupPr>
                          <m:e>
                            <m:r>
                              <w:rPr>
                                <w:rFonts w:ascii="Cambria Math" w:hAnsi="Cambria Math"/>
                                <w:sz w:val="24"/>
                              </w:rPr>
                              <m:t>r</m:t>
                            </m:r>
                          </m:e>
                          <m:sub>
                            <m:r>
                              <w:rPr>
                                <w:rFonts w:ascii="Cambria Math" w:hAnsi="Cambria Math"/>
                                <w:sz w:val="24"/>
                              </w:rPr>
                              <m:t>i</m:t>
                            </m:r>
                          </m:sub>
                          <m:sup>
                            <m:r>
                              <w:rPr>
                                <w:rFonts w:ascii="Cambria Math" w:hAnsi="Cambria Math"/>
                                <w:sz w:val="24"/>
                              </w:rPr>
                              <m:t>'</m:t>
                            </m:r>
                          </m:sup>
                        </m:sSubSup>
                        <m:d>
                          <m:dPr>
                            <m:ctrlPr>
                              <w:rPr>
                                <w:rFonts w:ascii="Cambria Math" w:hAnsi="Cambria Math"/>
                                <w:sz w:val="24"/>
                              </w:rPr>
                            </m:ctrlPr>
                          </m:dPr>
                          <m:e>
                            <m:r>
                              <w:rPr>
                                <w:rFonts w:ascii="Cambria Math" w:hAnsi="Cambria Math"/>
                                <w:sz w:val="24"/>
                              </w:rPr>
                              <m:t>t</m:t>
                            </m:r>
                          </m:e>
                        </m:d>
                      </m:e>
                    </m:d>
                    <m:r>
                      <w:rPr>
                        <w:rFonts w:ascii="Cambria Math" w:hAnsi="Cambria Math"/>
                        <w:sz w:val="24"/>
                      </w:rPr>
                      <m:t>-</m:t>
                    </m:r>
                    <m:sSub>
                      <m:sSubPr>
                        <m:ctrlPr>
                          <w:rPr>
                            <w:rFonts w:ascii="Cambria Math" w:hAnsi="Cambria Math"/>
                            <w:sz w:val="24"/>
                          </w:rPr>
                        </m:ctrlPr>
                      </m:sSubPr>
                      <m:e>
                        <m:r>
                          <w:rPr>
                            <w:rFonts w:ascii="Cambria Math" w:hAnsi="Cambria Math"/>
                            <w:sz w:val="24"/>
                          </w:rPr>
                          <m:t>r</m:t>
                        </m:r>
                      </m:e>
                      <m:sub>
                        <m:r>
                          <w:rPr>
                            <w:rFonts w:ascii="Cambria Math" w:hAnsi="Cambria Math"/>
                            <w:sz w:val="24"/>
                          </w:rPr>
                          <m:t>i</m:t>
                        </m:r>
                      </m:sub>
                    </m:sSub>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t</m:t>
                            </m:r>
                          </m:e>
                          <m:sub>
                            <m:r>
                              <w:rPr>
                                <w:rFonts w:ascii="Cambria Math" w:hAnsi="Cambria Math"/>
                                <w:sz w:val="24"/>
                              </w:rPr>
                              <m:t>ref</m:t>
                            </m:r>
                          </m:sub>
                        </m:sSub>
                      </m:e>
                    </m:d>
                  </m:e>
                  <m:sup>
                    <m:r>
                      <w:rPr>
                        <w:rFonts w:ascii="Cambria Math" w:hAnsi="Cambria Math"/>
                        <w:sz w:val="24"/>
                      </w:rPr>
                      <m:t>2</m:t>
                    </m:r>
                  </m:sup>
                </m:sSup>
              </m:e>
            </m:nary>
            <m:r>
              <w:rPr>
                <w:rFonts w:ascii="Cambria Math" w:hAnsi="Cambria Math"/>
                <w:sz w:val="24"/>
              </w:rPr>
              <m:t>&gt;</m:t>
            </m:r>
          </m:e>
        </m:rad>
      </m:oMath>
      <w:r w:rsidR="00605EBD">
        <w:rPr>
          <w:rFonts w:ascii="Times New Roman" w:eastAsiaTheme="minorEastAsia" w:hAnsi="Times New Roman"/>
          <w:sz w:val="24"/>
        </w:rPr>
        <w:tab/>
      </w:r>
      <w:r w:rsidR="00605EBD">
        <w:rPr>
          <w:rFonts w:ascii="Times New Roman" w:eastAsiaTheme="minorEastAsia" w:hAnsi="Times New Roman"/>
          <w:sz w:val="24"/>
        </w:rPr>
        <w:tab/>
      </w:r>
      <w:r w:rsidR="00605EBD">
        <w:rPr>
          <w:rFonts w:ascii="Times New Roman" w:eastAsiaTheme="minorEastAsia" w:hAnsi="Times New Roman"/>
          <w:sz w:val="24"/>
        </w:rPr>
        <w:tab/>
      </w:r>
      <w:r w:rsidR="00605EBD">
        <w:rPr>
          <w:rFonts w:ascii="Times New Roman" w:eastAsiaTheme="minorEastAsia" w:hAnsi="Times New Roman"/>
          <w:sz w:val="24"/>
        </w:rPr>
        <w:tab/>
      </w:r>
      <w:r w:rsidR="00605EBD">
        <w:rPr>
          <w:rFonts w:ascii="Times New Roman" w:eastAsiaTheme="minorEastAsia" w:hAnsi="Times New Roman"/>
          <w:sz w:val="24"/>
        </w:rPr>
        <w:tab/>
        <w:t>(3)</w:t>
      </w:r>
    </w:p>
    <w:p w14:paraId="5585D404" w14:textId="77777777" w:rsidR="00605EBD" w:rsidRPr="00E6612B" w:rsidRDefault="00605EBD" w:rsidP="00605EBD">
      <w:pPr>
        <w:jc w:val="both"/>
        <w:rPr>
          <w:rFonts w:ascii="Times New Roman" w:hAnsi="Times New Roman"/>
          <w:sz w:val="24"/>
        </w:rPr>
      </w:pPr>
    </w:p>
    <w:p w14:paraId="0A237054" w14:textId="77777777" w:rsidR="00605EBD" w:rsidRPr="00E6612B" w:rsidRDefault="00605EBD" w:rsidP="00605EBD">
      <w:pPr>
        <w:jc w:val="both"/>
        <w:rPr>
          <w:rFonts w:ascii="Times New Roman" w:hAnsi="Times New Roman"/>
          <w:sz w:val="24"/>
        </w:rPr>
      </w:pPr>
      <w:r w:rsidRPr="00E6612B">
        <w:rPr>
          <w:rFonts w:ascii="Times New Roman" w:hAnsi="Times New Roman"/>
          <w:sz w:val="24"/>
        </w:rPr>
        <w:t>RMSF is determined over trajectory time T. The reference time is t ref. The position of residue i is r</w:t>
      </w:r>
      <w:r w:rsidRPr="0012474F">
        <w:rPr>
          <w:rFonts w:ascii="Times New Roman" w:hAnsi="Times New Roman"/>
          <w:sz w:val="24"/>
          <w:vertAlign w:val="subscript"/>
        </w:rPr>
        <w:t>i</w:t>
      </w:r>
      <w:r w:rsidRPr="00E6612B">
        <w:rPr>
          <w:rFonts w:ascii="Times New Roman" w:hAnsi="Times New Roman"/>
          <w:sz w:val="24"/>
        </w:rPr>
        <w:t xml:space="preserve">, and its atoms are r' after superposition on the reference. The angle bracketed average square distance is calculated over residue atom selection. Protein regions with the highest simulated fluctuation are shown by the peaks on this map. N- and C-terminal protein tails vary more than other regions. </w:t>
      </w:r>
    </w:p>
    <w:p w14:paraId="0C98F5F3"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Radius of Gyration (Rg)</w:t>
      </w:r>
    </w:p>
    <w:p w14:paraId="63201DED" w14:textId="77777777" w:rsidR="00605EBD" w:rsidRPr="00E6612B" w:rsidRDefault="00605EBD" w:rsidP="00605EBD">
      <w:pPr>
        <w:jc w:val="both"/>
        <w:rPr>
          <w:rFonts w:ascii="Times New Roman" w:hAnsi="Times New Roman"/>
          <w:sz w:val="24"/>
        </w:rPr>
      </w:pPr>
      <w:r w:rsidRPr="00E6612B">
        <w:rPr>
          <w:rFonts w:ascii="Times New Roman" w:hAnsi="Times New Roman"/>
          <w:sz w:val="24"/>
        </w:rPr>
        <w:t>When mass weighting is taken into account, the radius of gyration (RG) is generally defined as the root mean square distance of an atomic group from their shared center of mass. The compactness of a molecular structure is indicated by the radius of gyration (Rg), which evaluates the proximity of the atoms to the centre of mass. This analysis is crucial for assessing the system's overall stability and folding characteristics over time.</w:t>
      </w:r>
    </w:p>
    <w:p w14:paraId="62290535" w14:textId="77777777" w:rsidR="00605EBD" w:rsidRPr="00E6612B" w:rsidRDefault="00605EBD" w:rsidP="00605EBD">
      <w:pPr>
        <w:jc w:val="both"/>
        <w:rPr>
          <w:rFonts w:ascii="Times New Roman" w:hAnsi="Times New Roman"/>
          <w:sz w:val="24"/>
        </w:rPr>
      </w:pPr>
    </w:p>
    <w:p w14:paraId="5AB9A29C" w14:textId="77777777" w:rsidR="00605EBD" w:rsidRPr="0012474F" w:rsidRDefault="00605EBD" w:rsidP="00605EBD">
      <w:pPr>
        <w:jc w:val="both"/>
        <w:rPr>
          <w:rFonts w:ascii="Times New Roman" w:hAnsi="Times New Roman"/>
          <w:b/>
          <w:bCs/>
          <w:sz w:val="24"/>
        </w:rPr>
      </w:pPr>
      <w:r w:rsidRPr="00E6612B">
        <w:rPr>
          <w:rFonts w:ascii="Times New Roman" w:hAnsi="Times New Roman"/>
          <w:b/>
          <w:bCs/>
          <w:sz w:val="24"/>
        </w:rPr>
        <w:t>Solvent Accessible Surface Area (SASA)</w:t>
      </w:r>
    </w:p>
    <w:p w14:paraId="1EA02B24" w14:textId="77777777" w:rsidR="00605EBD" w:rsidRPr="00E6612B" w:rsidRDefault="00605EBD" w:rsidP="00605EBD">
      <w:pPr>
        <w:jc w:val="both"/>
        <w:rPr>
          <w:rFonts w:ascii="Times New Roman" w:hAnsi="Times New Roman"/>
          <w:sz w:val="24"/>
        </w:rPr>
      </w:pPr>
      <w:r w:rsidRPr="00E6612B">
        <w:rPr>
          <w:rFonts w:ascii="Times New Roman" w:hAnsi="Times New Roman"/>
          <w:sz w:val="24"/>
        </w:rPr>
        <w:t>The Solvent Accessible Surface Area (SASA) was calculated using the gmx sasa module of GROMACS 2025.1 over the course of a 100 ns molecular dynamics trajectory. The analysis was performed on the full complex, and the SASA values were recorded at regular intervals to monitor changes in surface exposure. Default probe radius (0.14 nm) and solvent parameters were applied. This analysis helped assess the folding stability and surface fluctuations of the protein–ligand complex during simulation.</w:t>
      </w:r>
    </w:p>
    <w:p w14:paraId="01A3D036" w14:textId="77777777" w:rsidR="00605EBD" w:rsidRPr="00E6612B" w:rsidRDefault="00605EBD" w:rsidP="00605EBD">
      <w:pPr>
        <w:jc w:val="both"/>
        <w:rPr>
          <w:rFonts w:ascii="Times New Roman" w:hAnsi="Times New Roman"/>
          <w:sz w:val="24"/>
        </w:rPr>
      </w:pPr>
    </w:p>
    <w:p w14:paraId="047749B7"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Hydrogen Bonds</w:t>
      </w:r>
    </w:p>
    <w:p w14:paraId="6F539765" w14:textId="77777777" w:rsidR="00605EBD" w:rsidRPr="00E6612B" w:rsidRDefault="00605EBD" w:rsidP="00605EBD">
      <w:pPr>
        <w:jc w:val="both"/>
        <w:rPr>
          <w:rFonts w:ascii="Times New Roman" w:hAnsi="Times New Roman"/>
          <w:sz w:val="24"/>
        </w:rPr>
      </w:pPr>
      <w:r w:rsidRPr="00E6612B">
        <w:rPr>
          <w:rFonts w:ascii="Times New Roman" w:hAnsi="Times New Roman"/>
          <w:sz w:val="24"/>
        </w:rPr>
        <w:t>Intramolecular hydrogen bonds were analyzed using the gmx hbond tool in GROMACS 2025.1. The analysis focused on hydrogen bonds formed within the protein throughout a 100 ns molecular dynamics simulation. Default criteria for hydrogen bond distance (≤ 0.35 nm) and angle (≥ 120°) were used. Hydrogen bond counts were computed for each frame of the trajectory to evaluate structural stability and integrity over time.</w:t>
      </w:r>
    </w:p>
    <w:p w14:paraId="74E3DF94" w14:textId="77777777" w:rsidR="00605EBD" w:rsidRPr="00E6612B" w:rsidRDefault="00605EBD" w:rsidP="00605EBD">
      <w:pPr>
        <w:jc w:val="both"/>
        <w:rPr>
          <w:rFonts w:ascii="Times New Roman" w:hAnsi="Times New Roman"/>
          <w:sz w:val="24"/>
        </w:rPr>
      </w:pPr>
    </w:p>
    <w:bookmarkEnd w:id="2"/>
    <w:p w14:paraId="65052248"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MMGBSA Binding Free Energy</w:t>
      </w:r>
    </w:p>
    <w:p w14:paraId="11010531" w14:textId="39E127F9" w:rsidR="00605EBD" w:rsidRPr="00E6612B" w:rsidRDefault="00605EBD" w:rsidP="00605EBD">
      <w:pPr>
        <w:jc w:val="both"/>
        <w:rPr>
          <w:rFonts w:ascii="Times New Roman" w:hAnsi="Times New Roman"/>
          <w:sz w:val="24"/>
        </w:rPr>
      </w:pPr>
      <w:r w:rsidRPr="00E6612B">
        <w:rPr>
          <w:rFonts w:ascii="Times New Roman" w:hAnsi="Times New Roman"/>
          <w:sz w:val="24"/>
        </w:rPr>
        <w:t xml:space="preserve">To estimate the binding free energy of the ligand to the protein, Molecular Mechanics/Generalized Born Surface Area (MM/GBSA) calculations were performed using the </w:t>
      </w:r>
      <w:r w:rsidRPr="00E6612B">
        <w:rPr>
          <w:rFonts w:ascii="Times New Roman" w:hAnsi="Times New Roman"/>
          <w:i/>
          <w:iCs/>
          <w:sz w:val="24"/>
        </w:rPr>
        <w:t>gmx_MMPBSA</w:t>
      </w:r>
      <w:r w:rsidRPr="00E6612B">
        <w:rPr>
          <w:rFonts w:ascii="Times New Roman" w:hAnsi="Times New Roman"/>
          <w:sz w:val="24"/>
        </w:rPr>
        <w:t xml:space="preserve"> tool (v1.6.3), which integrates GROMACS with AmberTools to enable end-state free energy analysis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&lt;EndNote&gt;&lt;Cite&gt;&lt;Author&gt;Valdés‑Tresanco&lt;/Author&gt;&lt;Year&gt;2021&lt;/Year&gt;&lt;RecNum&gt;199&lt;/RecNum&gt;&lt;DisplayText&gt;&lt;style face="superscript"&gt;23&lt;/style&gt;&lt;/DisplayText&gt;&lt;record&gt;&lt;rec-number&gt;199&lt;/rec-number&gt;&lt;foreign-keys&gt;&lt;key app="EN" db-id="df0p2xfske5tetew9t8vxfreatd9we2w259x" timestamp="1752561204"&gt;199&lt;/key&gt;&lt;/foreign-keys&gt;&lt;ref-type name="Journal Article"&gt;17&lt;/ref-type&gt;&lt;contributors&gt;&lt;authors&gt;&lt;author&gt;Valdés‑Tresanco, M. S., Valdés‑Tresanco, M. E., Valiente, P. A., &amp;amp; Moreno, E. &lt;/author&gt;&lt;/authors&gt;&lt;/contributors&gt;&lt;titles&gt;&lt;title&gt;A new tool to perform end‑state free energy calculations with GROMACS.&lt;/title&gt;&lt;secondary-title&gt;Journal of Chemical Theory and Computation&lt;/secondary-title&gt;&lt;/titles&gt;&lt;periodical&gt;&lt;full-title&gt;Journal of Chemical Theory and Computation&lt;/full-title&gt;&lt;/periodical&gt;&lt;pages&gt; 6281–6291&lt;/pages&gt;&lt;volume&gt;17&lt;/volume&gt;&lt;number&gt;10&lt;/number&gt;&lt;dates&gt;&lt;year&gt;2021&lt;/year&gt;&lt;/dates&gt;&lt;urls&gt;&lt;/urls&gt;&lt;/record&gt;&lt;/Cite&gt;&lt;/EndNote&gt;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23</w:t>
      </w:r>
      <w:r>
        <w:rPr>
          <w:rFonts w:ascii="Times New Roman" w:hAnsi="Times New Roman"/>
          <w:sz w:val="24"/>
        </w:rPr>
        <w:fldChar w:fldCharType="end"/>
      </w:r>
      <w:r>
        <w:rPr>
          <w:rFonts w:ascii="Times New Roman" w:hAnsi="Times New Roman"/>
          <w:sz w:val="24"/>
        </w:rPr>
        <w:t xml:space="preserve">. </w:t>
      </w:r>
      <w:r w:rsidRPr="00E6612B">
        <w:rPr>
          <w:rFonts w:ascii="Times New Roman" w:hAnsi="Times New Roman"/>
          <w:sz w:val="24"/>
        </w:rPr>
        <w:t xml:space="preserve">The approach decomposes the binding free energy (ΔG </w:t>
      </w:r>
      <w:r w:rsidRPr="00E6612B">
        <w:rPr>
          <w:rFonts w:ascii="Times New Roman" w:hAnsi="Times New Roman"/>
          <w:sz w:val="24"/>
          <w:vertAlign w:val="subscript"/>
        </w:rPr>
        <w:t>bind</w:t>
      </w:r>
      <w:r w:rsidRPr="00E6612B">
        <w:rPr>
          <w:rFonts w:ascii="Times New Roman" w:hAnsi="Times New Roman"/>
          <w:sz w:val="24"/>
        </w:rPr>
        <w:t>) into molecular mechanical energy (van der Waals and electrostatic interactions) and solvation energies (polar and nonpolar contributions), based on the equation:</w:t>
      </w:r>
    </w:p>
    <w:p w14:paraId="6F30E4E4" w14:textId="77777777" w:rsidR="00605EBD" w:rsidRPr="00E6612B" w:rsidRDefault="00605EBD" w:rsidP="00605EBD">
      <w:pPr>
        <w:jc w:val="right"/>
        <w:rPr>
          <w:rFonts w:ascii="Times New Roman" w:hAnsi="Times New Roman"/>
          <w:sz w:val="24"/>
        </w:rPr>
      </w:pPr>
      <m:oMath>
        <m:r>
          <w:rPr>
            <w:rFonts w:ascii="Cambria Math" w:hAnsi="Cambria Math"/>
            <w:sz w:val="24"/>
          </w:rPr>
          <m:t>∆</m:t>
        </m:r>
        <m:sSub>
          <m:sSubPr>
            <m:ctrlPr>
              <w:rPr>
                <w:rFonts w:ascii="Cambria Math" w:hAnsi="Cambria Math"/>
                <w:i/>
                <w:sz w:val="24"/>
              </w:rPr>
            </m:ctrlPr>
          </m:sSubPr>
          <m:e>
            <m:r>
              <w:rPr>
                <w:rFonts w:ascii="Cambria Math" w:hAnsi="Cambria Math"/>
                <w:sz w:val="24"/>
              </w:rPr>
              <m:t>G</m:t>
            </m:r>
          </m:e>
          <m:sub>
            <m:r>
              <w:rPr>
                <w:rFonts w:ascii="Cambria Math" w:hAnsi="Cambria Math"/>
                <w:sz w:val="24"/>
              </w:rPr>
              <m:t>bind</m:t>
            </m:r>
          </m:sub>
        </m:sSub>
        <m:r>
          <w:rPr>
            <w:rFonts w:ascii="Cambria Math" w:hAnsi="Cambria Math"/>
            <w:sz w:val="24"/>
          </w:rPr>
          <m:t>= ∆</m:t>
        </m:r>
        <m:sSub>
          <m:sSubPr>
            <m:ctrlPr>
              <w:rPr>
                <w:rFonts w:ascii="Cambria Math" w:hAnsi="Cambria Math"/>
                <w:i/>
                <w:sz w:val="24"/>
              </w:rPr>
            </m:ctrlPr>
          </m:sSubPr>
          <m:e>
            <m:r>
              <w:rPr>
                <w:rFonts w:ascii="Cambria Math" w:hAnsi="Cambria Math"/>
                <w:sz w:val="24"/>
              </w:rPr>
              <m:t>E</m:t>
            </m:r>
          </m:e>
          <m:sub>
            <m:r>
              <w:rPr>
                <w:rFonts w:ascii="Cambria Math" w:hAnsi="Cambria Math"/>
                <w:sz w:val="24"/>
              </w:rPr>
              <m:t>vdW</m:t>
            </m:r>
          </m:sub>
        </m:sSub>
        <m:r>
          <w:rPr>
            <w:rFonts w:ascii="Cambria Math" w:hAnsi="Cambria Math"/>
            <w:sz w:val="24"/>
          </w:rPr>
          <m:t>+ ∆</m:t>
        </m:r>
        <m:sSub>
          <m:sSubPr>
            <m:ctrlPr>
              <w:rPr>
                <w:rFonts w:ascii="Cambria Math" w:hAnsi="Cambria Math"/>
                <w:i/>
                <w:sz w:val="24"/>
              </w:rPr>
            </m:ctrlPr>
          </m:sSubPr>
          <m:e>
            <m:r>
              <w:rPr>
                <w:rFonts w:ascii="Cambria Math" w:hAnsi="Cambria Math"/>
                <w:sz w:val="24"/>
              </w:rPr>
              <m:t>E</m:t>
            </m:r>
          </m:e>
          <m:sub>
            <m:r>
              <w:rPr>
                <w:rFonts w:ascii="Cambria Math" w:hAnsi="Cambria Math"/>
                <w:sz w:val="24"/>
              </w:rPr>
              <m:t>ele</m:t>
            </m:r>
          </m:sub>
        </m:sSub>
        <m:r>
          <w:rPr>
            <w:rFonts w:ascii="Cambria Math" w:hAnsi="Cambria Math"/>
            <w:sz w:val="24"/>
          </w:rPr>
          <m:t>+ ∆</m:t>
        </m:r>
        <m:sSub>
          <m:sSubPr>
            <m:ctrlPr>
              <w:rPr>
                <w:rFonts w:ascii="Cambria Math" w:hAnsi="Cambria Math"/>
                <w:i/>
                <w:sz w:val="24"/>
              </w:rPr>
            </m:ctrlPr>
          </m:sSubPr>
          <m:e>
            <m:r>
              <w:rPr>
                <w:rFonts w:ascii="Cambria Math" w:hAnsi="Cambria Math"/>
                <w:sz w:val="24"/>
              </w:rPr>
              <m:t>G</m:t>
            </m:r>
          </m:e>
          <m:sub>
            <m:r>
              <w:rPr>
                <w:rFonts w:ascii="Cambria Math" w:hAnsi="Cambria Math"/>
                <w:sz w:val="24"/>
              </w:rPr>
              <m:t>polar</m:t>
            </m:r>
          </m:sub>
        </m:sSub>
        <m:r>
          <w:rPr>
            <w:rFonts w:ascii="Cambria Math" w:hAnsi="Cambria Math"/>
            <w:sz w:val="24"/>
          </w:rPr>
          <m:t>+ ∆</m:t>
        </m:r>
        <m:sSub>
          <m:sSubPr>
            <m:ctrlPr>
              <w:rPr>
                <w:rFonts w:ascii="Cambria Math" w:hAnsi="Cambria Math"/>
                <w:i/>
                <w:sz w:val="24"/>
              </w:rPr>
            </m:ctrlPr>
          </m:sSubPr>
          <m:e>
            <m:r>
              <w:rPr>
                <w:rFonts w:ascii="Cambria Math" w:hAnsi="Cambria Math"/>
                <w:sz w:val="24"/>
              </w:rPr>
              <m:t>G</m:t>
            </m:r>
          </m:e>
          <m:sub>
            <m:r>
              <w:rPr>
                <w:rFonts w:ascii="Cambria Math" w:hAnsi="Cambria Math"/>
                <w:sz w:val="24"/>
              </w:rPr>
              <m:t>polar</m:t>
            </m:r>
          </m:sub>
        </m:sSub>
      </m:oMath>
      <w:r>
        <w:rPr>
          <w:rFonts w:ascii="Times New Roman" w:eastAsiaTheme="minorEastAsia" w:hAnsi="Times New Roman"/>
          <w:sz w:val="24"/>
        </w:rPr>
        <w:tab/>
      </w:r>
      <w:r>
        <w:rPr>
          <w:rFonts w:ascii="Times New Roman" w:eastAsiaTheme="minorEastAsia" w:hAnsi="Times New Roman"/>
          <w:sz w:val="24"/>
        </w:rPr>
        <w:tab/>
      </w:r>
      <w:r>
        <w:rPr>
          <w:rFonts w:ascii="Times New Roman" w:eastAsiaTheme="minorEastAsia" w:hAnsi="Times New Roman"/>
          <w:sz w:val="24"/>
        </w:rPr>
        <w:tab/>
        <w:t>(4)</w:t>
      </w:r>
    </w:p>
    <w:p w14:paraId="41C9F298" w14:textId="2951AE47" w:rsidR="00605EBD" w:rsidRPr="00E6612B" w:rsidRDefault="00605EBD" w:rsidP="00605EBD">
      <w:pPr>
        <w:jc w:val="both"/>
        <w:rPr>
          <w:rFonts w:ascii="Times New Roman" w:hAnsi="Times New Roman"/>
          <w:sz w:val="24"/>
        </w:rPr>
      </w:pPr>
      <w:r w:rsidRPr="00852DDC">
        <w:rPr>
          <w:rFonts w:ascii="Times New Roman" w:hAnsi="Times New Roman"/>
          <w:sz w:val="24"/>
        </w:rPr>
        <w:t>In this study, the Generalized Born (GB) implicit solvent model was used to evaluate polar solvation energy, employing the igb=5 parameter corresponding to the GB-Neck2 model, while the nonpolar component was calculated from</w:t>
      </w:r>
      <w:r w:rsidRPr="00E6612B">
        <w:rPr>
          <w:rFonts w:ascii="Times New Roman" w:hAnsi="Times New Roman"/>
          <w:sz w:val="24"/>
        </w:rPr>
        <w:t xml:space="preserve"> solvent-accessible surface area using the LCPO method. Entropy contributions were neglected, as is commonly done in comparative binding affinity assessments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&lt;EndNote&gt;&lt;Cite&gt;&lt;Author&gt;Genheden&lt;/Author&gt;&lt;Year&gt;2015&lt;/Year&gt;&lt;RecNum&gt;200&lt;/RecNum&gt;&lt;DisplayText&gt;&lt;style face="superscript"&gt;24&lt;/style&gt;&lt;/DisplayText&gt;&lt;record&gt;&lt;rec-number&gt;200&lt;/rec-number&gt;&lt;foreign-keys&gt;&lt;key app="EN" db-id="df0p2xfske5tetew9t8vxfreatd9we2w259x" timestamp="1752561378"&gt;200&lt;/key&gt;&lt;/foreign-keys&gt;&lt;ref-type name="Journal Article"&gt;17&lt;/ref-type&gt;&lt;contributors&gt;&lt;authors&gt;&lt;author&gt;Genheden, S., &amp;amp; Ryde, U.&lt;/author&gt;&lt;/authors&gt;&lt;/contributors&gt;&lt;titles&gt;&lt;title&gt;The MM/PBSA and MM/GBSA methods to estimate ligand‑binding affinities&lt;/title&gt;&lt;secondary-title&gt;Expert Opinion on Drug Discovery&lt;/secondary-title&gt;&lt;/titles&gt;&lt;periodical&gt;&lt;full-title&gt;Expert Opinion on Drug Discovery&lt;/full-title&gt;&lt;/periodical&gt;&lt;pages&gt;449-461&lt;/pages&gt;&lt;volume&gt;10&lt;/volume&gt;&lt;number&gt;5&lt;/number&gt;&lt;dates&gt;&lt;year&gt;2015&lt;/year&gt;&lt;/dates&gt;&lt;urls&gt;&lt;/urls&gt;&lt;electronic-resource-num&gt;https://doi.org/10.1517/17460441.2015.1032936&lt;/electronic-resource-num&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24</w:t>
      </w:r>
      <w:r>
        <w:rPr>
          <w:rFonts w:ascii="Times New Roman" w:hAnsi="Times New Roman"/>
          <w:sz w:val="24"/>
        </w:rPr>
        <w:fldChar w:fldCharType="end"/>
      </w:r>
      <w:r>
        <w:rPr>
          <w:rFonts w:ascii="Times New Roman" w:hAnsi="Times New Roman"/>
          <w:sz w:val="24"/>
        </w:rPr>
        <w:t>.</w:t>
      </w:r>
    </w:p>
    <w:p w14:paraId="7B6C7D1E" w14:textId="77777777" w:rsidR="00605EBD" w:rsidRPr="00E6612B" w:rsidRDefault="00605EBD" w:rsidP="00605EBD">
      <w:pPr>
        <w:jc w:val="both"/>
        <w:rPr>
          <w:rFonts w:ascii="Times New Roman" w:hAnsi="Times New Roman"/>
          <w:sz w:val="24"/>
        </w:rPr>
      </w:pPr>
      <w:r w:rsidRPr="00852DDC">
        <w:rPr>
          <w:rFonts w:ascii="Times New Roman" w:hAnsi="Times New Roman"/>
          <w:sz w:val="24"/>
        </w:rPr>
        <w:t>A total of 1001 snapshots</w:t>
      </w:r>
      <w:r w:rsidRPr="00E6612B">
        <w:rPr>
          <w:rFonts w:ascii="Times New Roman" w:hAnsi="Times New Roman"/>
          <w:sz w:val="24"/>
        </w:rPr>
        <w:t xml:space="preserve"> were extracted at equal intervals from the 100 ns production trajectory </w:t>
      </w:r>
      <w:r w:rsidRPr="00E6612B">
        <w:rPr>
          <w:rFonts w:ascii="Times New Roman" w:hAnsi="Times New Roman"/>
          <w:i/>
          <w:iCs/>
          <w:sz w:val="24"/>
        </w:rPr>
        <w:t>(MD_center.xtc)</w:t>
      </w:r>
      <w:r w:rsidRPr="00E6612B">
        <w:rPr>
          <w:rFonts w:ascii="Times New Roman" w:hAnsi="Times New Roman"/>
          <w:sz w:val="24"/>
        </w:rPr>
        <w:t xml:space="preserve"> of the protein-ligand complex. The calculations were conducted on three separate systems: the complex, the receptor (protein alone), and the ligand. The final ΔG </w:t>
      </w:r>
      <w:r w:rsidRPr="00E6612B">
        <w:rPr>
          <w:rFonts w:ascii="Times New Roman" w:hAnsi="Times New Roman"/>
          <w:sz w:val="24"/>
          <w:vertAlign w:val="subscript"/>
        </w:rPr>
        <w:t>bind</w:t>
      </w:r>
      <w:r w:rsidRPr="00E6612B">
        <w:rPr>
          <w:rFonts w:ascii="Times New Roman" w:hAnsi="Times New Roman"/>
          <w:sz w:val="24"/>
        </w:rPr>
        <w:t xml:space="preserve"> was computed as:</w:t>
      </w:r>
    </w:p>
    <w:p w14:paraId="0C08E82E" w14:textId="77777777" w:rsidR="00605EBD" w:rsidRPr="00E6612B" w:rsidRDefault="00605EBD" w:rsidP="00605EBD">
      <w:pPr>
        <w:jc w:val="right"/>
        <w:rPr>
          <w:rFonts w:ascii="Times New Roman" w:hAnsi="Times New Roman"/>
          <w:b/>
          <w:bCs/>
          <w:sz w:val="24"/>
        </w:rPr>
      </w:pPr>
      <m:oMath>
        <m:r>
          <w:rPr>
            <w:rFonts w:ascii="Cambria Math" w:hAnsi="Cambria Math"/>
            <w:sz w:val="24"/>
          </w:rPr>
          <m:t>∆</m:t>
        </m:r>
        <m:sSub>
          <m:sSubPr>
            <m:ctrlPr>
              <w:rPr>
                <w:rFonts w:ascii="Cambria Math" w:hAnsi="Cambria Math"/>
                <w:i/>
                <w:sz w:val="24"/>
              </w:rPr>
            </m:ctrlPr>
          </m:sSubPr>
          <m:e>
            <m:r>
              <w:rPr>
                <w:rFonts w:ascii="Cambria Math" w:hAnsi="Cambria Math"/>
                <w:sz w:val="24"/>
              </w:rPr>
              <m:t>G</m:t>
            </m:r>
          </m:e>
          <m:sub>
            <m:r>
              <w:rPr>
                <w:rFonts w:ascii="Cambria Math" w:hAnsi="Cambria Math"/>
                <w:sz w:val="24"/>
              </w:rPr>
              <m:t>bind</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G</m:t>
            </m:r>
          </m:e>
          <m:sub>
            <m:r>
              <w:rPr>
                <w:rFonts w:ascii="Cambria Math" w:hAnsi="Cambria Math"/>
                <w:sz w:val="24"/>
              </w:rPr>
              <m:t>complex</m:t>
            </m:r>
          </m:sub>
        </m:sSub>
        <m:r>
          <w:rPr>
            <w:rFonts w:ascii="Cambria Math" w:hAnsi="Cambria Math"/>
            <w:sz w:val="24"/>
          </w:rPr>
          <m:t>-(</m:t>
        </m:r>
        <m:sSub>
          <m:sSubPr>
            <m:ctrlPr>
              <w:rPr>
                <w:rFonts w:ascii="Cambria Math" w:hAnsi="Cambria Math"/>
                <w:i/>
                <w:sz w:val="24"/>
              </w:rPr>
            </m:ctrlPr>
          </m:sSubPr>
          <m:e>
            <m:r>
              <w:rPr>
                <w:rFonts w:ascii="Cambria Math" w:hAnsi="Cambria Math"/>
                <w:sz w:val="24"/>
              </w:rPr>
              <m:t>G</m:t>
            </m:r>
          </m:e>
          <m:sub>
            <m:r>
              <w:rPr>
                <w:rFonts w:ascii="Cambria Math" w:hAnsi="Cambria Math"/>
                <w:sz w:val="24"/>
              </w:rPr>
              <m:t>receptor</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G</m:t>
            </m:r>
          </m:e>
          <m:sub>
            <m:r>
              <w:rPr>
                <w:rFonts w:ascii="Cambria Math" w:hAnsi="Cambria Math"/>
                <w:sz w:val="24"/>
              </w:rPr>
              <m:t>ligand</m:t>
            </m:r>
          </m:sub>
        </m:sSub>
        <m:r>
          <w:rPr>
            <w:rFonts w:ascii="Cambria Math" w:hAnsi="Cambria Math"/>
            <w:sz w:val="24"/>
          </w:rPr>
          <m:t>)</m:t>
        </m:r>
      </m:oMath>
      <w:r>
        <w:rPr>
          <w:rFonts w:ascii="Times New Roman" w:eastAsiaTheme="minorEastAsia" w:hAnsi="Times New Roman"/>
          <w:sz w:val="24"/>
        </w:rPr>
        <w:tab/>
      </w:r>
      <w:r>
        <w:rPr>
          <w:rFonts w:ascii="Times New Roman" w:eastAsiaTheme="minorEastAsia" w:hAnsi="Times New Roman"/>
          <w:sz w:val="24"/>
        </w:rPr>
        <w:tab/>
      </w:r>
      <w:r>
        <w:rPr>
          <w:rFonts w:ascii="Times New Roman" w:eastAsiaTheme="minorEastAsia" w:hAnsi="Times New Roman"/>
          <w:sz w:val="24"/>
        </w:rPr>
        <w:tab/>
        <w:t>(5)</w:t>
      </w:r>
    </w:p>
    <w:p w14:paraId="4CBFDEFD" w14:textId="77777777" w:rsidR="00605EBD" w:rsidRPr="00E6612B" w:rsidRDefault="00605EBD" w:rsidP="00605EBD">
      <w:pPr>
        <w:jc w:val="both"/>
        <w:rPr>
          <w:rFonts w:ascii="Times New Roman" w:hAnsi="Times New Roman"/>
          <w:sz w:val="24"/>
        </w:rPr>
      </w:pPr>
    </w:p>
    <w:p w14:paraId="77DA652D" w14:textId="77777777" w:rsidR="00605EBD" w:rsidRPr="00E6612B" w:rsidRDefault="00605EBD" w:rsidP="00605EBD">
      <w:pPr>
        <w:jc w:val="both"/>
        <w:rPr>
          <w:rFonts w:ascii="Times New Roman" w:hAnsi="Times New Roman"/>
          <w:b/>
          <w:bCs/>
          <w:sz w:val="24"/>
        </w:rPr>
      </w:pPr>
      <w:r>
        <w:rPr>
          <w:rFonts w:ascii="Times New Roman" w:hAnsi="Times New Roman"/>
          <w:b/>
          <w:bCs/>
          <w:sz w:val="24"/>
        </w:rPr>
        <w:t>P</w:t>
      </w:r>
      <w:r w:rsidRPr="00E6612B">
        <w:rPr>
          <w:rFonts w:ascii="Times New Roman" w:hAnsi="Times New Roman"/>
          <w:b/>
          <w:bCs/>
          <w:sz w:val="24"/>
        </w:rPr>
        <w:t>rincipal Component Analysis (PCA)</w:t>
      </w:r>
    </w:p>
    <w:p w14:paraId="10686450" w14:textId="6A8B4E75" w:rsidR="00605EBD" w:rsidRPr="00E6612B" w:rsidRDefault="00605EBD" w:rsidP="00605EBD">
      <w:pPr>
        <w:jc w:val="both"/>
        <w:rPr>
          <w:rFonts w:ascii="Times New Roman" w:hAnsi="Times New Roman"/>
          <w:sz w:val="24"/>
        </w:rPr>
      </w:pPr>
      <w:r w:rsidRPr="00E6612B">
        <w:rPr>
          <w:rFonts w:ascii="Times New Roman" w:hAnsi="Times New Roman"/>
          <w:sz w:val="24"/>
        </w:rPr>
        <w:t>Principal Component Analysis (PCA) was performed to assess the dominant motions in the protein-ligand complex during the molecular dynamics simulation. PCA reduces the dimensionality of atomic fluctuations by diagonalizing the covariance matrix of positional deviations after least-squares fitting to a reference structure, yielding eigenvectors (principal components) and eigenvalues (their amplitudes)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&lt;EndNote&gt;&lt;Cite&gt;&lt;Author&gt;David&lt;/Author&gt;&lt;Year&gt;2014&lt;/Year&gt;&lt;RecNum&gt;202&lt;/RecNum&gt;&lt;DisplayText&gt;&lt;style face="superscript"&gt;25&lt;/style&gt;&lt;/DisplayText&gt;&lt;record&gt;&lt;rec-number&gt;202&lt;/rec-number&gt;&lt;foreign-keys&gt;&lt;key app="EN" db-id="df0p2xfske5tetew9t8vxfreatd9we2w259x" timestamp="1752561637"&gt;202&lt;/key&gt;&lt;/foreign-keys&gt;&lt;ref-type name="Journal Article"&gt;17&lt;/ref-type&gt;&lt;contributors&gt;&lt;authors&gt;&lt;author&gt;David, C. C., &amp;amp; Jacobs, D. J.&lt;/author&gt;&lt;/authors&gt;&lt;/contributors&gt;&lt;titles&gt;&lt;title&gt;Principal component analysis : A method for determining the essential dynamics of proteins&lt;/title&gt;&lt;secondary-title&gt;Methods in Molecular Biology&lt;/secondary-title&gt;&lt;/titles&gt;&lt;periodical&gt;&lt;full-title&gt;Methods in Molecular Biology&lt;/full-title&gt;&lt;/periodical&gt;&lt;pages&gt;193–226&lt;/pages&gt;&lt;dates&gt;&lt;year&gt;2014&lt;/year&gt;&lt;/dates&gt;&lt;urls&gt;&lt;/urls&gt;&lt;/record&gt;&lt;/Cite&gt;&lt;/EndNote&gt;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25</w:t>
      </w:r>
      <w:r>
        <w:rPr>
          <w:rFonts w:ascii="Times New Roman" w:hAnsi="Times New Roman"/>
          <w:sz w:val="24"/>
        </w:rPr>
        <w:fldChar w:fldCharType="end"/>
      </w:r>
      <w:r>
        <w:rPr>
          <w:rFonts w:ascii="Times New Roman" w:hAnsi="Times New Roman"/>
          <w:sz w:val="24"/>
        </w:rPr>
        <w:t>.</w:t>
      </w:r>
    </w:p>
    <w:p w14:paraId="0FDD195F" w14:textId="77777777" w:rsidR="00605EBD" w:rsidRPr="00E6612B" w:rsidRDefault="00605EBD" w:rsidP="00605EBD">
      <w:pPr>
        <w:jc w:val="both"/>
        <w:rPr>
          <w:rFonts w:ascii="Times New Roman" w:hAnsi="Times New Roman"/>
          <w:sz w:val="24"/>
        </w:rPr>
      </w:pPr>
      <w:r w:rsidRPr="00E6612B">
        <w:rPr>
          <w:rFonts w:ascii="Times New Roman" w:hAnsi="Times New Roman"/>
          <w:sz w:val="24"/>
        </w:rPr>
        <w:t xml:space="preserve">GROMACS 2025.1 was used for the trajectory preprocessing and PCA execution. The atomic positional covariance matrix was generated using the command </w:t>
      </w:r>
      <w:r w:rsidRPr="00E6612B">
        <w:rPr>
          <w:rFonts w:ascii="Times New Roman" w:hAnsi="Times New Roman"/>
          <w:i/>
          <w:iCs/>
          <w:sz w:val="24"/>
        </w:rPr>
        <w:t>gmx covar</w:t>
      </w:r>
      <w:r w:rsidRPr="00E6612B">
        <w:rPr>
          <w:rFonts w:ascii="Times New Roman" w:hAnsi="Times New Roman"/>
          <w:sz w:val="24"/>
        </w:rPr>
        <w:t xml:space="preserve"> on the Cα atoms of the protein, producing eigenvectors and eigenvalues. Subsequently, the</w:t>
      </w:r>
      <w:r w:rsidRPr="00E6612B">
        <w:rPr>
          <w:rFonts w:ascii="Times New Roman" w:hAnsi="Times New Roman"/>
          <w:i/>
          <w:iCs/>
          <w:sz w:val="24"/>
        </w:rPr>
        <w:t xml:space="preserve"> gmx anaeig</w:t>
      </w:r>
      <w:r w:rsidRPr="00E6612B">
        <w:rPr>
          <w:rFonts w:ascii="Times New Roman" w:hAnsi="Times New Roman"/>
          <w:sz w:val="24"/>
        </w:rPr>
        <w:t xml:space="preserve"> tool was employed to analyze the first three principal components with respect to RMS fluctuations, eigenvector contributions, and 2D trajectory projection.</w:t>
      </w:r>
    </w:p>
    <w:p w14:paraId="30230FDA" w14:textId="77777777" w:rsidR="00605EBD" w:rsidRPr="00E6612B" w:rsidRDefault="00605EBD" w:rsidP="00605EBD">
      <w:pPr>
        <w:jc w:val="both"/>
        <w:rPr>
          <w:rFonts w:ascii="Times New Roman" w:hAnsi="Times New Roman"/>
          <w:sz w:val="24"/>
        </w:rPr>
      </w:pPr>
      <w:r w:rsidRPr="00E6612B">
        <w:rPr>
          <w:rFonts w:ascii="Times New Roman" w:hAnsi="Times New Roman"/>
          <w:sz w:val="24"/>
        </w:rPr>
        <w:t>All PCA plots were generated using Xmgrace. The eigenvectors represent directions of motion in conformational space, while eigenvalues correspond to their relative amplitudes.</w:t>
      </w:r>
    </w:p>
    <w:p w14:paraId="4C23FCD4"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Dynamic Cross-Correlation Matrix (DCCM)</w:t>
      </w:r>
    </w:p>
    <w:p w14:paraId="1BA73AAB" w14:textId="77777777" w:rsidR="00605EBD" w:rsidRPr="00E6612B" w:rsidRDefault="00605EBD" w:rsidP="00605EBD">
      <w:pPr>
        <w:jc w:val="both"/>
        <w:rPr>
          <w:rFonts w:ascii="Times New Roman" w:hAnsi="Times New Roman"/>
          <w:sz w:val="24"/>
        </w:rPr>
      </w:pPr>
      <w:r w:rsidRPr="00E6612B">
        <w:rPr>
          <w:rFonts w:ascii="Times New Roman" w:hAnsi="Times New Roman"/>
          <w:sz w:val="24"/>
        </w:rPr>
        <w:t xml:space="preserve">To explore residue-level correlated motions within the protein-ligand complexes, dynamic cross-correlation matrix (DCCM) analysis was performed using the C-alpha atoms of the protein from the 100 ns molecular dynamics (MD) trajectories. The MD trajectories were processed with </w:t>
      </w:r>
      <w:r w:rsidRPr="00852DDC">
        <w:rPr>
          <w:rFonts w:ascii="Times New Roman" w:hAnsi="Times New Roman"/>
          <w:sz w:val="24"/>
        </w:rPr>
        <w:t>MDAnalysis in Python, where displacement vectors from mean positions were computed for each residue over time. The normalized correlation coefficients between residue pairs were calculated according to the formula:</w:t>
      </w:r>
    </w:p>
    <w:p w14:paraId="798269F1" w14:textId="77777777" w:rsidR="00605EBD" w:rsidRPr="00E6612B" w:rsidRDefault="00000000" w:rsidP="00605EBD">
      <w:pPr>
        <w:jc w:val="both"/>
        <w:rPr>
          <w:rFonts w:ascii="Times New Roman" w:hAnsi="Times New Roman"/>
          <w:sz w:val="24"/>
        </w:rPr>
      </w:pPr>
      <m:oMathPara>
        <m:oMath>
          <m:sSub>
            <m:sSubPr>
              <m:ctrlPr>
                <w:rPr>
                  <w:rFonts w:ascii="Cambria Math" w:hAnsi="Cambria Math"/>
                  <w:i/>
                  <w:sz w:val="24"/>
                </w:rPr>
              </m:ctrlPr>
            </m:sSubPr>
            <m:e>
              <m:r>
                <w:rPr>
                  <w:rFonts w:ascii="Cambria Math" w:hAnsi="Cambria Math"/>
                  <w:sz w:val="24"/>
                </w:rPr>
                <m:t>C</m:t>
              </m:r>
            </m:e>
            <m:sub>
              <m:r>
                <w:rPr>
                  <w:rFonts w:ascii="Cambria Math" w:hAnsi="Cambria Math"/>
                  <w:sz w:val="24"/>
                </w:rPr>
                <m:t>ij</m:t>
              </m:r>
            </m:sub>
          </m:sSub>
          <m:r>
            <w:rPr>
              <w:rFonts w:ascii="Cambria Math" w:hAnsi="Cambria Math"/>
              <w:sz w:val="24"/>
            </w:rPr>
            <m:t xml:space="preserve">= </m:t>
          </m:r>
          <m:f>
            <m:fPr>
              <m:ctrlPr>
                <w:rPr>
                  <w:rFonts w:ascii="Cambria Math" w:hAnsi="Cambria Math"/>
                  <w:i/>
                  <w:sz w:val="24"/>
                </w:rPr>
              </m:ctrlPr>
            </m:fPr>
            <m:num>
              <m:r>
                <w:rPr>
                  <w:rFonts w:ascii="Cambria Math" w:hAnsi="Cambria Math"/>
                  <w:sz w:val="24"/>
                </w:rPr>
                <m:t>(</m:t>
              </m:r>
              <m:sSub>
                <m:sSubPr>
                  <m:ctrlPr>
                    <w:rPr>
                      <w:rFonts w:ascii="Cambria Math" w:hAnsi="Cambria Math"/>
                      <w:i/>
                      <w:sz w:val="24"/>
                    </w:rPr>
                  </m:ctrlPr>
                </m:sSubPr>
                <m:e>
                  <m:r>
                    <w:rPr>
                      <w:rFonts w:ascii="Cambria Math" w:hAnsi="Cambria Math"/>
                      <w:sz w:val="24"/>
                    </w:rPr>
                    <m:t>∆r</m:t>
                  </m:r>
                </m:e>
                <m:sub>
                  <m:r>
                    <w:rPr>
                      <w:rFonts w:ascii="Cambria Math" w:hAnsi="Cambria Math"/>
                      <w:sz w:val="24"/>
                    </w:rPr>
                    <m:t>i</m:t>
                  </m:r>
                </m:sub>
              </m:sSub>
              <m:r>
                <w:rPr>
                  <w:rFonts w:ascii="Cambria Math" w:hAnsi="Cambria Math"/>
                  <w:sz w:val="24"/>
                </w:rPr>
                <m:t>.</m:t>
              </m:r>
              <m:sSub>
                <m:sSubPr>
                  <m:ctrlPr>
                    <w:rPr>
                      <w:rFonts w:ascii="Cambria Math" w:hAnsi="Cambria Math"/>
                      <w:i/>
                      <w:sz w:val="24"/>
                    </w:rPr>
                  </m:ctrlPr>
                </m:sSubPr>
                <m:e>
                  <m:r>
                    <w:rPr>
                      <w:rFonts w:ascii="Cambria Math" w:hAnsi="Cambria Math"/>
                      <w:sz w:val="24"/>
                    </w:rPr>
                    <m:t>∆r</m:t>
                  </m:r>
                </m:e>
                <m:sub>
                  <m:r>
                    <w:rPr>
                      <w:rFonts w:ascii="Cambria Math" w:hAnsi="Cambria Math"/>
                      <w:sz w:val="24"/>
                    </w:rPr>
                    <m:t>j</m:t>
                  </m:r>
                </m:sub>
              </m:sSub>
              <m:r>
                <w:rPr>
                  <w:rFonts w:ascii="Cambria Math" w:hAnsi="Cambria Math"/>
                  <w:sz w:val="24"/>
                </w:rPr>
                <m:t>)</m:t>
              </m:r>
            </m:num>
            <m:den>
              <m:rad>
                <m:radPr>
                  <m:degHide m:val="1"/>
                  <m:ctrlPr>
                    <w:rPr>
                      <w:rFonts w:ascii="Cambria Math" w:hAnsi="Cambria Math"/>
                      <w:i/>
                      <w:sz w:val="24"/>
                    </w:rPr>
                  </m:ctrlPr>
                </m:radPr>
                <m:deg/>
                <m:e>
                  <m:sSubSup>
                    <m:sSubSupPr>
                      <m:ctrlPr>
                        <w:rPr>
                          <w:rFonts w:ascii="Cambria Math" w:hAnsi="Cambria Math"/>
                          <w:i/>
                          <w:sz w:val="24"/>
                        </w:rPr>
                      </m:ctrlPr>
                    </m:sSubSupPr>
                    <m:e>
                      <m:r>
                        <w:rPr>
                          <w:rFonts w:ascii="Cambria Math" w:hAnsi="Cambria Math"/>
                          <w:sz w:val="24"/>
                        </w:rPr>
                        <m:t>(∆r</m:t>
                      </m:r>
                    </m:e>
                    <m:sub>
                      <m:r>
                        <w:rPr>
                          <w:rFonts w:ascii="Cambria Math" w:hAnsi="Cambria Math"/>
                          <w:sz w:val="24"/>
                        </w:rPr>
                        <m:t>i</m:t>
                      </m:r>
                    </m:sub>
                    <m:sup>
                      <m:r>
                        <w:rPr>
                          <w:rFonts w:ascii="Cambria Math" w:hAnsi="Cambria Math"/>
                          <w:sz w:val="24"/>
                        </w:rPr>
                        <m:t>2</m:t>
                      </m:r>
                    </m:sup>
                  </m:sSubSup>
                  <m:r>
                    <w:rPr>
                      <w:rFonts w:ascii="Cambria Math" w:hAnsi="Cambria Math"/>
                      <w:sz w:val="24"/>
                    </w:rPr>
                    <m:t>).</m:t>
                  </m:r>
                  <m:sSubSup>
                    <m:sSubSupPr>
                      <m:ctrlPr>
                        <w:rPr>
                          <w:rFonts w:ascii="Cambria Math" w:hAnsi="Cambria Math"/>
                          <w:i/>
                          <w:sz w:val="24"/>
                        </w:rPr>
                      </m:ctrlPr>
                    </m:sSubSupPr>
                    <m:e>
                      <m:r>
                        <w:rPr>
                          <w:rFonts w:ascii="Cambria Math" w:hAnsi="Cambria Math"/>
                          <w:sz w:val="24"/>
                        </w:rPr>
                        <m:t>(∆r</m:t>
                      </m:r>
                    </m:e>
                    <m:sub>
                      <m:r>
                        <w:rPr>
                          <w:rFonts w:ascii="Cambria Math" w:hAnsi="Cambria Math"/>
                          <w:sz w:val="24"/>
                        </w:rPr>
                        <m:t>j</m:t>
                      </m:r>
                    </m:sub>
                    <m:sup>
                      <m:r>
                        <w:rPr>
                          <w:rFonts w:ascii="Cambria Math" w:hAnsi="Cambria Math"/>
                          <w:sz w:val="24"/>
                        </w:rPr>
                        <m:t>2</m:t>
                      </m:r>
                    </m:sup>
                  </m:sSubSup>
                  <m:r>
                    <w:rPr>
                      <w:rFonts w:ascii="Cambria Math" w:hAnsi="Cambria Math"/>
                      <w:sz w:val="24"/>
                    </w:rPr>
                    <m:t>)</m:t>
                  </m:r>
                </m:e>
              </m:rad>
            </m:den>
          </m:f>
        </m:oMath>
      </m:oMathPara>
    </w:p>
    <w:p w14:paraId="1B2728C1" w14:textId="500AED6D" w:rsidR="00605EBD" w:rsidRPr="00852DDC" w:rsidRDefault="00605EBD" w:rsidP="00605EBD">
      <w:pPr>
        <w:jc w:val="both"/>
        <w:rPr>
          <w:rFonts w:ascii="Times New Roman" w:hAnsi="Times New Roman"/>
          <w:sz w:val="24"/>
        </w:rPr>
      </w:pPr>
      <w:r w:rsidRPr="00E6612B">
        <w:rPr>
          <w:rFonts w:ascii="Times New Roman" w:hAnsi="Times New Roman"/>
          <w:sz w:val="24"/>
        </w:rPr>
        <w:t xml:space="preserve">Values of </w:t>
      </w:r>
      <w:r w:rsidRPr="00E6612B">
        <w:rPr>
          <w:rFonts w:ascii="Times New Roman" w:hAnsi="Times New Roman"/>
          <w:b/>
          <w:bCs/>
          <w:sz w:val="24"/>
        </w:rPr>
        <w:t>C</w:t>
      </w:r>
      <w:r w:rsidRPr="00E6612B">
        <w:rPr>
          <w:rFonts w:ascii="Times New Roman" w:hAnsi="Times New Roman"/>
          <w:b/>
          <w:bCs/>
          <w:sz w:val="24"/>
          <w:vertAlign w:val="subscript"/>
        </w:rPr>
        <w:t>ij</w:t>
      </w:r>
      <w:r w:rsidRPr="00E6612B">
        <w:rPr>
          <w:rFonts w:ascii="Times New Roman" w:hAnsi="Times New Roman"/>
          <w:b/>
          <w:bCs/>
          <w:sz w:val="24"/>
        </w:rPr>
        <w:t xml:space="preserve"> </w:t>
      </w:r>
      <w:r w:rsidRPr="00E6612B">
        <w:rPr>
          <w:rFonts w:ascii="Times New Roman" w:hAnsi="Times New Roman"/>
          <w:sz w:val="24"/>
        </w:rPr>
        <w:t xml:space="preserve">range from </w:t>
      </w:r>
      <w:r w:rsidRPr="00E6612B">
        <w:rPr>
          <w:rFonts w:ascii="Times New Roman" w:hAnsi="Times New Roman"/>
          <w:b/>
          <w:bCs/>
          <w:sz w:val="24"/>
        </w:rPr>
        <w:t>+1</w:t>
      </w:r>
      <w:r w:rsidRPr="00E6612B">
        <w:rPr>
          <w:rFonts w:ascii="Times New Roman" w:hAnsi="Times New Roman"/>
          <w:sz w:val="24"/>
        </w:rPr>
        <w:t xml:space="preserve"> (fully correlated motion) to </w:t>
      </w:r>
      <w:r w:rsidRPr="00E6612B">
        <w:rPr>
          <w:rFonts w:ascii="Times New Roman" w:hAnsi="Times New Roman"/>
          <w:b/>
          <w:bCs/>
          <w:sz w:val="24"/>
        </w:rPr>
        <w:t>−1</w:t>
      </w:r>
      <w:r w:rsidRPr="00E6612B">
        <w:rPr>
          <w:rFonts w:ascii="Times New Roman" w:hAnsi="Times New Roman"/>
          <w:sz w:val="24"/>
        </w:rPr>
        <w:t xml:space="preserve"> (fully a</w:t>
      </w:r>
      <w:r w:rsidRPr="00852DDC">
        <w:rPr>
          <w:rFonts w:ascii="Times New Roman" w:hAnsi="Times New Roman"/>
          <w:sz w:val="24"/>
        </w:rPr>
        <w:t xml:space="preserve">nti-correlated motion), with 0 indicating no correlation. The resulting matrices were visualized using Seaborn heatmaps, where red indicates positive correlation and blue indicates anti-correlation. This approach provides insight into the allosteric communication and long-range interactions modulated by ligand binding, as established in previous studies </w:t>
      </w:r>
      <w:r w:rsidRPr="00852DDC">
        <w:rPr>
          <w:rFonts w:ascii="Times New Roman" w:hAnsi="Times New Roman"/>
          <w:sz w:val="24"/>
        </w:rPr>
        <w:fldChar w:fldCharType="begin"/>
      </w:r>
      <w:r w:rsidR="000C3006">
        <w:rPr>
          <w:rFonts w:ascii="Times New Roman" w:hAnsi="Times New Roman"/>
          <w:sz w:val="24"/>
        </w:rPr>
        <w:instrText xml:space="preserve"> ADDIN EN.CITE &lt;EndNote&gt;&lt;Cite&gt;&lt;Author&gt;Bakan&lt;/Author&gt;&lt;RecNum&gt;203&lt;/RecNum&gt;&lt;DisplayText&gt;&lt;style face="superscript"&gt;26&lt;/style&gt;&lt;/DisplayText&gt;&lt;record&gt;&lt;rec-number&gt;203&lt;/rec-number&gt;&lt;foreign-keys&gt;&lt;key app="EN" db-id="df0p2xfske5tetew9t8vxfreatd9we2w259x" timestamp="1752571316"&gt;203&lt;/key&gt;&lt;/foreign-keys&gt;&lt;ref-type name="Journal Article"&gt;17&lt;/ref-type&gt;&lt;contributors&gt;&lt;authors&gt;&lt;author&gt;Bakan, A., Meireles, L. M., &amp;amp; Bahar, I. &lt;/author&gt;&lt;/authors&gt;&lt;/contributors&gt;&lt;titles&gt;&lt;title&gt;ProDy: protein dynamics inferred from theory and experiments&lt;/title&gt;&lt;secondary-title&gt;Bioinformatics&lt;/secondary-title&gt;&lt;/titles&gt;&lt;periodical&gt;&lt;full-title&gt;Bioinformatics&lt;/full-title&gt;&lt;/periodical&gt;&lt;pages&gt;1575-1577&lt;/pages&gt;&lt;volume&gt;7&lt;/volume&gt;&lt;number&gt;11&lt;/number&gt;&lt;dates&gt;&lt;/dates&gt;&lt;urls&gt;&lt;/urls&gt;&lt;/record&gt;&lt;/Cite&gt;&lt;Cite&gt;&lt;Author&gt;Gerek&lt;/Author&gt;&lt;Year&gt;2011&lt;/Year&gt;&lt;RecNum&gt;204&lt;/RecNum&gt;&lt;record&gt;&lt;rec-number&gt;204&lt;/rec-number&gt;&lt;foreign-keys&gt;&lt;key app="EN" db-id="df0p2xfske5tetew9t8vxfreatd9we2w259x" timestamp="1752571471"&gt;204&lt;/key&gt;&lt;/foreign-keys&gt;&lt;ref-type name="Journal Article"&gt;17&lt;/ref-type&gt;&lt;contributors&gt;&lt;authors&gt;&lt;author&gt;Gerek, Z. N., &amp;amp; Ozkan, S. B&lt;/author&gt;&lt;/authors&gt;&lt;/contributors&gt;&lt;titles&gt;&lt;title&gt;Change in allosteric network affects binding affinities of PDZ domains: analysis through perturbation response scanning&lt;/title&gt;&lt;secondary-title&gt;PLoS Comput Biol&lt;/secondary-title&gt;&lt;/titles&gt;&lt;periodical&gt;&lt;full-title&gt;PLoS Comput Biol&lt;/full-title&gt;&lt;/periodical&gt;&lt;volume&gt;7&lt;/volume&gt;&lt;number&gt;10&lt;/number&gt;&lt;dates&gt;&lt;year&gt;2011&lt;/year&gt;&lt;/dates&gt;&lt;urls&gt;&lt;/urls&gt;&lt;electronic-resource-num&gt;https://doi.org/10.1371/journal.pcbi.1002154&lt;/electronic-resource-num&gt;&lt;/record&gt;&lt;/Cite&gt;&lt;/EndNote&gt;</w:instrText>
      </w:r>
      <w:r w:rsidRPr="00852DDC">
        <w:rPr>
          <w:rFonts w:ascii="Times New Roman" w:hAnsi="Times New Roman"/>
          <w:sz w:val="24"/>
        </w:rPr>
        <w:fldChar w:fldCharType="separate"/>
      </w:r>
      <w:r w:rsidR="000C3006" w:rsidRPr="000C3006">
        <w:rPr>
          <w:rFonts w:ascii="Times New Roman" w:hAnsi="Times New Roman"/>
          <w:noProof/>
          <w:sz w:val="24"/>
          <w:vertAlign w:val="superscript"/>
        </w:rPr>
        <w:t>26</w:t>
      </w:r>
      <w:r w:rsidRPr="00852DDC">
        <w:rPr>
          <w:rFonts w:ascii="Times New Roman" w:hAnsi="Times New Roman"/>
          <w:sz w:val="24"/>
        </w:rPr>
        <w:fldChar w:fldCharType="end"/>
      </w:r>
    </w:p>
    <w:p w14:paraId="485344A9" w14:textId="77777777" w:rsidR="00605EBD" w:rsidRPr="00E6612B" w:rsidRDefault="00605EBD" w:rsidP="00605EBD">
      <w:pPr>
        <w:jc w:val="both"/>
        <w:rPr>
          <w:rFonts w:ascii="Times New Roman" w:hAnsi="Times New Roman"/>
          <w:sz w:val="24"/>
        </w:rPr>
      </w:pPr>
    </w:p>
    <w:p w14:paraId="3D7DEB59" w14:textId="77777777" w:rsidR="00605EBD" w:rsidRPr="00E6612B" w:rsidRDefault="00605EBD" w:rsidP="00605EBD">
      <w:pPr>
        <w:jc w:val="both"/>
        <w:rPr>
          <w:rFonts w:ascii="Times New Roman" w:hAnsi="Times New Roman"/>
          <w:b/>
          <w:bCs/>
          <w:sz w:val="24"/>
        </w:rPr>
      </w:pPr>
      <w:r w:rsidRPr="00E6612B">
        <w:rPr>
          <w:rFonts w:ascii="Times New Roman" w:hAnsi="Times New Roman"/>
          <w:b/>
          <w:bCs/>
          <w:sz w:val="24"/>
        </w:rPr>
        <w:t xml:space="preserve">Free Energy Landscape (FEL) </w:t>
      </w:r>
    </w:p>
    <w:p w14:paraId="22BA9B03" w14:textId="5D391326" w:rsidR="00605EBD" w:rsidRPr="00E6612B" w:rsidRDefault="00605EBD" w:rsidP="00605EBD">
      <w:pPr>
        <w:jc w:val="both"/>
        <w:rPr>
          <w:rFonts w:ascii="Times New Roman" w:hAnsi="Times New Roman"/>
          <w:sz w:val="24"/>
        </w:rPr>
      </w:pPr>
      <w:r w:rsidRPr="00E6612B">
        <w:rPr>
          <w:rFonts w:ascii="Times New Roman" w:hAnsi="Times New Roman"/>
          <w:sz w:val="24"/>
        </w:rPr>
        <w:t>FEL analysis was conducted to evaluate the conformational energetics and stability of the protein-ligand complexes</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&lt;EndNote&gt;&lt;Cite&gt;&lt;Author&gt;Miyashita&lt;/Author&gt;&lt;Year&gt;2003&lt;/Year&gt;&lt;RecNum&gt;205&lt;/RecNum&gt;&lt;DisplayText&gt;&lt;style face="superscript"&gt;27&lt;/style&gt;&lt;/DisplayText&gt;&lt;record&gt;&lt;rec-number&gt;205&lt;/rec-number&gt;&lt;foreign-keys&gt;&lt;key app="EN" db-id="df0p2xfske5tetew9t8vxfreatd9we2w259x" timestamp="1752571727"&gt;205&lt;/key&gt;&lt;/foreign-keys&gt;&lt;ref-type name="Journal Article"&gt;17&lt;/ref-type&gt;&lt;contributors&gt;&lt;authors&gt;&lt;author&gt;Miyashita, O., Onuchic, J. N., &amp;amp; Wolynes, P. G. &lt;/author&gt;&lt;/authors&gt;&lt;/contributors&gt;&lt;titles&gt;&lt;title&gt;Nonlinear elasticity, proteinquakes, and the energy landscapes of functional transitions in proteins&lt;/title&gt;&lt;secondary-title&gt;Proceedings of the National Academy of Sciences&lt;/secondary-title&gt;&lt;/titles&gt;&lt;periodical&gt;&lt;full-title&gt;Proceedings of the National Academy of Sciences&lt;/full-title&gt;&lt;/periodical&gt;&lt;pages&gt;12570-12575&lt;/pages&gt;&lt;volume&gt;100&lt;/volume&gt;&lt;number&gt;22&lt;/number&gt;&lt;dates&gt;&lt;year&gt;2003&lt;/year&gt;&lt;/dates&gt;&lt;urls&gt;&lt;/urls&gt;&lt;electronic-resource-num&gt;https://doi.org/10.1073/pnas.2135471100&lt;/electronic-resource-num&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27</w:t>
      </w:r>
      <w:r>
        <w:rPr>
          <w:rFonts w:ascii="Times New Roman" w:hAnsi="Times New Roman"/>
          <w:sz w:val="24"/>
        </w:rPr>
        <w:fldChar w:fldCharType="end"/>
      </w:r>
      <w:r w:rsidRPr="00E6612B">
        <w:rPr>
          <w:rFonts w:ascii="Times New Roman" w:hAnsi="Times New Roman"/>
          <w:sz w:val="24"/>
        </w:rPr>
        <w:t>. The trajectory file from 100 ns molecular dynamics simulations was used as input for Principal Component Analysis (PCA), from which the first two eigenvectors (PC1 and PC2) were selected as reaction coordinates. The free energy of each conformation was calculated using the Boltzmann relation:</w:t>
      </w:r>
    </w:p>
    <w:p w14:paraId="6BD98838" w14:textId="77777777" w:rsidR="00605EBD" w:rsidRPr="00E6612B" w:rsidRDefault="00605EBD" w:rsidP="00605EBD">
      <w:pPr>
        <w:jc w:val="both"/>
        <w:rPr>
          <w:rFonts w:ascii="Times New Roman" w:hAnsi="Times New Roman"/>
          <w:sz w:val="24"/>
        </w:rPr>
      </w:pPr>
    </w:p>
    <w:p w14:paraId="134BCD26" w14:textId="77777777" w:rsidR="00605EBD" w:rsidRPr="00E6612B" w:rsidRDefault="00605EBD" w:rsidP="00605EBD">
      <w:pPr>
        <w:jc w:val="both"/>
        <w:rPr>
          <w:rFonts w:ascii="Times New Roman" w:hAnsi="Times New Roman"/>
          <w:b/>
          <w:bCs/>
          <w:sz w:val="24"/>
        </w:rPr>
      </w:pPr>
      <m:oMathPara>
        <m:oMath>
          <m:r>
            <w:rPr>
              <w:rFonts w:ascii="Cambria Math" w:hAnsi="Cambria Math"/>
              <w:sz w:val="24"/>
            </w:rPr>
            <m:t xml:space="preserve">∆G= </m:t>
          </m:r>
          <m:sSub>
            <m:sSubPr>
              <m:ctrlPr>
                <w:rPr>
                  <w:rFonts w:ascii="Cambria Math" w:hAnsi="Cambria Math"/>
                  <w:i/>
                  <w:sz w:val="24"/>
                </w:rPr>
              </m:ctrlPr>
            </m:sSubPr>
            <m:e>
              <m:r>
                <w:rPr>
                  <w:rFonts w:ascii="Cambria Math" w:hAnsi="Cambria Math"/>
                  <w:sz w:val="24"/>
                </w:rPr>
                <m:t>-k</m:t>
              </m:r>
            </m:e>
            <m:sub>
              <m:r>
                <w:rPr>
                  <w:rFonts w:ascii="Cambria Math" w:hAnsi="Cambria Math"/>
                  <w:sz w:val="24"/>
                </w:rPr>
                <m:t>B</m:t>
              </m:r>
            </m:sub>
          </m:sSub>
          <m:r>
            <w:rPr>
              <w:rFonts w:ascii="Cambria Math" w:hAnsi="Cambria Math"/>
              <w:sz w:val="24"/>
            </w:rPr>
            <m:t>T</m:t>
          </m:r>
          <m:func>
            <m:funcPr>
              <m:ctrlPr>
                <w:rPr>
                  <w:rFonts w:ascii="Cambria Math" w:hAnsi="Cambria Math"/>
                  <w:i/>
                  <w:sz w:val="24"/>
                </w:rPr>
              </m:ctrlPr>
            </m:funcPr>
            <m:fName>
              <m:r>
                <m:rPr>
                  <m:sty m:val="p"/>
                </m:rPr>
                <w:rPr>
                  <w:rFonts w:ascii="Cambria Math" w:hAnsi="Cambria Math"/>
                  <w:sz w:val="24"/>
                </w:rPr>
                <m:t>ln</m:t>
              </m:r>
            </m:fName>
            <m:e>
              <m:r>
                <w:rPr>
                  <w:rFonts w:ascii="Cambria Math" w:hAnsi="Cambria Math"/>
                  <w:sz w:val="24"/>
                </w:rPr>
                <m:t>P</m:t>
              </m:r>
            </m:e>
          </m:func>
        </m:oMath>
      </m:oMathPara>
    </w:p>
    <w:p w14:paraId="5E09E792" w14:textId="77777777" w:rsidR="00605EBD" w:rsidRPr="00E6612B" w:rsidRDefault="00605EBD" w:rsidP="00605EBD">
      <w:pPr>
        <w:jc w:val="both"/>
        <w:rPr>
          <w:rFonts w:ascii="Times New Roman" w:hAnsi="Times New Roman"/>
          <w:sz w:val="24"/>
        </w:rPr>
      </w:pPr>
    </w:p>
    <w:p w14:paraId="3D05B1CB" w14:textId="36A9DDDC" w:rsidR="00605EBD" w:rsidRDefault="00605EBD" w:rsidP="00605EBD">
      <w:pPr>
        <w:jc w:val="both"/>
        <w:rPr>
          <w:rFonts w:ascii="Times New Roman" w:hAnsi="Times New Roman"/>
          <w:sz w:val="24"/>
        </w:rPr>
      </w:pPr>
      <w:r w:rsidRPr="00E6612B">
        <w:rPr>
          <w:rFonts w:ascii="Times New Roman" w:hAnsi="Times New Roman"/>
          <w:sz w:val="24"/>
        </w:rPr>
        <w:t>where ΔG is the free energy, k</w:t>
      </w:r>
      <w:r w:rsidRPr="00E6612B">
        <w:rPr>
          <w:rFonts w:ascii="Times New Roman" w:hAnsi="Times New Roman"/>
          <w:sz w:val="24"/>
          <w:vertAlign w:val="subscript"/>
        </w:rPr>
        <w:t>B</w:t>
      </w:r>
      <w:r w:rsidRPr="00E6612B">
        <w:rPr>
          <w:rFonts w:ascii="Times New Roman" w:hAnsi="Times New Roman"/>
          <w:sz w:val="24"/>
        </w:rPr>
        <w:t xml:space="preserve"> is the Boltzmann constant (1.380649 × 10⁻²³ J/K), T is the temperature (298.15 K), and lnP is the normalized probability distribution of the conformations across the PC1–PC2 space</w:t>
      </w:r>
      <w:r>
        <w:rPr>
          <w:rFonts w:ascii="Times New Roman" w:hAnsi="Times New Roman"/>
          <w:sz w:val="24"/>
        </w:rPr>
        <w:t xml:space="preserve"> </w:t>
      </w:r>
      <w:r>
        <w:rPr>
          <w:rFonts w:ascii="Times New Roman" w:hAnsi="Times New Roman"/>
          <w:sz w:val="24"/>
        </w:rPr>
        <w:fldChar w:fldCharType="begin"/>
      </w:r>
      <w:r w:rsidR="000C3006">
        <w:rPr>
          <w:rFonts w:ascii="Times New Roman" w:hAnsi="Times New Roman"/>
          <w:sz w:val="24"/>
        </w:rPr>
        <w:instrText xml:space="preserve"> ADDIN EN.CITE &lt;EndNote&gt;&lt;Cite&gt;&lt;Author&gt;Sutto&lt;/Author&gt;&lt;Year&gt;2013&lt;/Year&gt;&lt;RecNum&gt;206&lt;/RecNum&gt;&lt;DisplayText&gt;&lt;style face="superscript"&gt;28&lt;/style&gt;&lt;/DisplayText&gt;&lt;record&gt;&lt;rec-number&gt;206&lt;/rec-number&gt;&lt;foreign-keys&gt;&lt;key app="EN" db-id="df0p2xfske5tetew9t8vxfreatd9we2w259x" timestamp="1752571881"&gt;206&lt;/key&gt;&lt;/foreign-keys&gt;&lt;ref-type name="Journal Article"&gt;17&lt;/ref-type&gt;&lt;contributors&gt;&lt;authors&gt;&lt;author&gt;Sutto, L., &amp;amp; Gervasio, F. L.&lt;/author&gt;&lt;/authors&gt;&lt;/contributors&gt;&lt;titles&gt;&lt;title&gt;Effects of oncogenic mutations on the conformational free-energy landscape of EGFR kinase&lt;/title&gt;&lt;secondary-title&gt;. Proceedings of the National Academy of Sciences&lt;/secondary-title&gt;&lt;/titles&gt;&lt;periodical&gt;&lt;full-title&gt;. Proceedings of the National Academy of Sciences&lt;/full-title&gt;&lt;/periodical&gt;&lt;pages&gt;10616-10621&lt;/pages&gt;&lt;volume&gt;110&lt;/volume&gt;&lt;number&gt;26&lt;/number&gt;&lt;dates&gt;&lt;year&gt;2013&lt;/year&gt;&lt;/dates&gt;&lt;urls&gt;&lt;/urls&gt;&lt;electronic-resource-num&gt;https://doi.org/10.1073/pnas.1221953110&lt;/electronic-resource-num&gt;&lt;/record&gt;&lt;/Cite&gt;&lt;/EndNote&gt;</w:instrText>
      </w:r>
      <w:r>
        <w:rPr>
          <w:rFonts w:ascii="Times New Roman" w:hAnsi="Times New Roman"/>
          <w:sz w:val="24"/>
        </w:rPr>
        <w:fldChar w:fldCharType="separate"/>
      </w:r>
      <w:r w:rsidR="000C3006" w:rsidRPr="000C3006">
        <w:rPr>
          <w:rFonts w:ascii="Times New Roman" w:hAnsi="Times New Roman"/>
          <w:noProof/>
          <w:sz w:val="24"/>
          <w:vertAlign w:val="superscript"/>
        </w:rPr>
        <w:t>28</w:t>
      </w:r>
      <w:r>
        <w:rPr>
          <w:rFonts w:ascii="Times New Roman" w:hAnsi="Times New Roman"/>
          <w:sz w:val="24"/>
        </w:rPr>
        <w:fldChar w:fldCharType="end"/>
      </w:r>
      <w:r w:rsidRPr="00E6612B">
        <w:rPr>
          <w:rFonts w:ascii="Times New Roman" w:hAnsi="Times New Roman"/>
          <w:sz w:val="24"/>
        </w:rPr>
        <w:t>. The 3D FEL was visualized using matplotlib.pyplot.plot_surface() to map local energy minima and transition states on a rugged conformational landscape. This approach allows identification of dominant low-energy basins and metastable states, widely adopted in protein dynamics studies</w:t>
      </w:r>
      <w:r>
        <w:rPr>
          <w:rFonts w:ascii="Times New Roman" w:hAnsi="Times New Roman"/>
          <w:sz w:val="24"/>
        </w:rPr>
        <w:t xml:space="preserve"> </w:t>
      </w:r>
      <w:r w:rsidR="00E42A10">
        <w:rPr>
          <w:rFonts w:ascii="Times New Roman" w:hAnsi="Times New Roman"/>
          <w:sz w:val="24"/>
        </w:rPr>
        <w:fldChar w:fldCharType="begin"/>
      </w:r>
      <w:r w:rsidR="000C3006">
        <w:rPr>
          <w:rFonts w:ascii="Times New Roman" w:hAnsi="Times New Roman"/>
          <w:sz w:val="24"/>
        </w:rPr>
        <w:instrText xml:space="preserve"> ADDIN EN.CITE &lt;EndNote&gt;&lt;Cite&gt;&lt;Author&gt;Cossins&lt;/Author&gt;&lt;Year&gt;2006&lt;/Year&gt;&lt;RecNum&gt;207&lt;/RecNum&gt;&lt;DisplayText&gt;&lt;style face="superscript"&gt;29&lt;/style&gt;&lt;/DisplayText&gt;&lt;record&gt;&lt;rec-number&gt;207&lt;/rec-number&gt;&lt;foreign-keys&gt;&lt;key app="EN" db-id="df0p2xfske5tetew9t8vxfreatd9we2w259x" timestamp="1752572181"&gt;207&lt;/key&gt;&lt;/foreign-keys&gt;&lt;ref-type name="Journal Article"&gt;17&lt;/ref-type&gt;&lt;contributors&gt;&lt;authors&gt;&lt;author&gt;Cossins, B. P., Hosseini, A., &amp;amp; McCammon, J. A. &lt;/author&gt;&lt;/authors&gt;&lt;/contributors&gt;&lt;titles&gt;&lt;title&gt;Conformational ensemble analysis of protein-ligand binding&lt;/title&gt;&lt;secondary-title&gt;. Journal of Chemical Theory and Computation&lt;/secondary-title&gt;&lt;/titles&gt;&lt;periodical&gt;&lt;full-title&gt;. Journal of Chemical Theory and Computation&lt;/full-title&gt;&lt;/periodical&gt;&lt;pages&gt;1382–1392&lt;/pages&gt;&lt;volume&gt;2&lt;/volume&gt;&lt;number&gt;5&lt;/number&gt;&lt;dates&gt;&lt;year&gt;2006&lt;/year&gt;&lt;/dates&gt;&lt;urls&gt;&lt;/urls&gt;&lt;electronic-resource-num&gt;https://doi.org/10.1021/ct060062k&lt;/electronic-resource-num&gt;&lt;/record&gt;&lt;/Cite&gt;&lt;/EndNote&gt;</w:instrText>
      </w:r>
      <w:r w:rsidR="00E42A10">
        <w:rPr>
          <w:rFonts w:ascii="Times New Roman" w:hAnsi="Times New Roman"/>
          <w:sz w:val="24"/>
        </w:rPr>
        <w:fldChar w:fldCharType="separate"/>
      </w:r>
      <w:r w:rsidR="000C3006" w:rsidRPr="000C3006">
        <w:rPr>
          <w:rFonts w:ascii="Times New Roman" w:hAnsi="Times New Roman"/>
          <w:noProof/>
          <w:sz w:val="24"/>
          <w:vertAlign w:val="superscript"/>
        </w:rPr>
        <w:t>29</w:t>
      </w:r>
      <w:r w:rsidR="00E42A10">
        <w:rPr>
          <w:rFonts w:ascii="Times New Roman" w:hAnsi="Times New Roman"/>
          <w:sz w:val="24"/>
        </w:rPr>
        <w:fldChar w:fldCharType="end"/>
      </w:r>
      <w:r w:rsidRPr="00E6612B">
        <w:rPr>
          <w:rFonts w:ascii="Times New Roman" w:hAnsi="Times New Roman"/>
          <w:sz w:val="24"/>
        </w:rPr>
        <w:t>.</w:t>
      </w:r>
      <w:bookmarkEnd w:id="3"/>
    </w:p>
    <w:p w14:paraId="1E8285DA" w14:textId="77777777" w:rsidR="00605EBD" w:rsidRPr="00275AF6" w:rsidRDefault="00605EBD" w:rsidP="00605EBD">
      <w:pPr>
        <w:jc w:val="both"/>
        <w:rPr>
          <w:rFonts w:ascii="Times New Roman" w:hAnsi="Times New Roman"/>
          <w:sz w:val="24"/>
        </w:rPr>
      </w:pPr>
      <w:r w:rsidRPr="00E6612B">
        <w:rPr>
          <w:rFonts w:ascii="Times New Roman" w:hAnsi="Times New Roman"/>
          <w:b/>
          <w:bCs/>
          <w:sz w:val="24"/>
        </w:rPr>
        <w:t>Total Decomposition Component (TDC)</w:t>
      </w:r>
    </w:p>
    <w:p w14:paraId="1055AC27" w14:textId="0D9B1D7E" w:rsidR="00605EBD" w:rsidRPr="00852DDC" w:rsidRDefault="00605EBD" w:rsidP="00605EBD">
      <w:pPr>
        <w:jc w:val="both"/>
        <w:rPr>
          <w:rFonts w:ascii="Times New Roman" w:hAnsi="Times New Roman"/>
          <w:sz w:val="24"/>
        </w:rPr>
      </w:pPr>
      <w:r w:rsidRPr="00852DDC">
        <w:rPr>
          <w:rFonts w:ascii="Times New Roman" w:hAnsi="Times New Roman"/>
          <w:sz w:val="24"/>
        </w:rPr>
        <w:t xml:space="preserve">To assess the stability and binding energetics of the seven protein-ligands, Total Decomposition Component (TDC) analysis was performed using the gmx_MMPBSA v1.6.3 tool </w:t>
      </w:r>
      <w:r w:rsidRPr="00852DDC">
        <w:rPr>
          <w:rFonts w:ascii="Times New Roman" w:hAnsi="Times New Roman"/>
          <w:sz w:val="24"/>
        </w:rPr>
        <w:fldChar w:fldCharType="begin"/>
      </w:r>
      <w:r w:rsidR="000C3006">
        <w:rPr>
          <w:rFonts w:ascii="Times New Roman" w:hAnsi="Times New Roman"/>
          <w:sz w:val="24"/>
        </w:rPr>
        <w:instrText xml:space="preserve"> ADDIN EN.CITE &lt;EndNote&gt;&lt;Cite&gt;&lt;Author&gt;Kumari&lt;/Author&gt;&lt;Year&gt;2014&lt;/Year&gt;&lt;RecNum&gt;209&lt;/RecNum&gt;&lt;DisplayText&gt;&lt;style face="superscript"&gt;30&lt;/style&gt;&lt;/DisplayText&gt;&lt;record&gt;&lt;rec-number&gt;209&lt;/rec-number&gt;&lt;foreign-keys&gt;&lt;key app="EN" db-id="df0p2xfske5tetew9t8vxfreatd9we2w259x" timestamp="1752573187"&gt;209&lt;/key&gt;&lt;/foreign-keys&gt;&lt;ref-type name="Journal Article"&gt;17&lt;/ref-type&gt;&lt;contributors&gt;&lt;authors&gt;&lt;author&gt;Kumari, R., Kumar, R., Open Source Drug Discovery Consortium, &amp;amp; Lynn, A&lt;/author&gt;&lt;/authors&gt;&lt;/contributors&gt;&lt;titles&gt;&lt;title&gt;_mmpbsa—A GROMACS tool for high-throughput MM-PBSA calculations&lt;/title&gt;&lt;secondary-title&gt;Journal of Chemical Information and Modeling&lt;/secondary-title&gt;&lt;/titles&gt;&lt;periodical&gt;&lt;full-title&gt;Journal of Chemical Information and Modeling&lt;/full-title&gt;&lt;/periodical&gt;&lt;pages&gt;1951–1962&lt;/pages&gt;&lt;volume&gt;54&lt;/volume&gt;&lt;number&gt;7&lt;/number&gt;&lt;dates&gt;&lt;year&gt;2014&lt;/year&gt;&lt;/dates&gt;&lt;urls&gt;&lt;/urls&gt;&lt;electronic-resource-num&gt;https://doi.org/10.1021/ci500020m&lt;/electronic-resource-num&gt;&lt;/record&gt;&lt;/Cite&gt;&lt;/EndNote&gt;</w:instrText>
      </w:r>
      <w:r w:rsidRPr="00852DDC">
        <w:rPr>
          <w:rFonts w:ascii="Times New Roman" w:hAnsi="Times New Roman"/>
          <w:sz w:val="24"/>
        </w:rPr>
        <w:fldChar w:fldCharType="separate"/>
      </w:r>
      <w:r w:rsidR="000C3006" w:rsidRPr="000C3006">
        <w:rPr>
          <w:rFonts w:ascii="Times New Roman" w:hAnsi="Times New Roman"/>
          <w:noProof/>
          <w:sz w:val="24"/>
          <w:vertAlign w:val="superscript"/>
        </w:rPr>
        <w:t>30</w:t>
      </w:r>
      <w:r w:rsidRPr="00852DDC">
        <w:rPr>
          <w:rFonts w:ascii="Times New Roman" w:hAnsi="Times New Roman"/>
          <w:sz w:val="24"/>
        </w:rPr>
        <w:fldChar w:fldCharType="end"/>
      </w:r>
      <w:r w:rsidRPr="00852DDC">
        <w:rPr>
          <w:rFonts w:ascii="Times New Roman" w:hAnsi="Times New Roman"/>
          <w:sz w:val="24"/>
        </w:rPr>
        <w:t xml:space="preserve"> in combination with molecular dynamics trajectories generated from GROMACS 2025.1. The Molecular Mechanics/Generalized Born Surface Area (MM/GBSA) approach was applied to calculate the total binding free energy and dissect it into key energy components: van der Waals (VDWAALS), electrostatics (EEL), polar solvation (EGB), and non-polar solvation (ESURF).</w:t>
      </w:r>
    </w:p>
    <w:p w14:paraId="41BA113C" w14:textId="77777777" w:rsidR="00605EBD" w:rsidRPr="00852DDC" w:rsidRDefault="00605EBD" w:rsidP="00605EBD">
      <w:pPr>
        <w:jc w:val="both"/>
        <w:rPr>
          <w:rFonts w:ascii="Times New Roman" w:hAnsi="Times New Roman"/>
          <w:sz w:val="24"/>
        </w:rPr>
      </w:pPr>
      <w:r w:rsidRPr="00852DDC">
        <w:rPr>
          <w:rFonts w:ascii="Times New Roman" w:hAnsi="Times New Roman"/>
          <w:sz w:val="24"/>
        </w:rPr>
        <w:t>The analysis was executed in Decomp_Full mode, which enables residue-wise decomposition across the entire simulation trajectory indicating strong and sustained interactions with the receptor during the simulation. The energetic profile derived from this analysis highlights specific residue–ligand contacts that underpin the structural and thermodynamic integrity of the protein-ligand complexes.</w:t>
      </w:r>
    </w:p>
    <w:p w14:paraId="1A340610" w14:textId="77777777" w:rsidR="00605EBD" w:rsidRDefault="00605EBD" w:rsidP="00605EBD"/>
    <w:p w14:paraId="58D9506E" w14:textId="77777777" w:rsidR="00605EBD" w:rsidRDefault="00605EBD" w:rsidP="00605EBD"/>
    <w:p w14:paraId="23EF63C7" w14:textId="77777777" w:rsidR="00605EBD" w:rsidRDefault="00605EBD" w:rsidP="00605EBD">
      <w:fldSimple w:instr=" ADDIN EN.REFLIST "/>
    </w:p>
    <w:p w14:paraId="31D39EA3" w14:textId="77777777" w:rsidR="00605EBD" w:rsidRDefault="00605EBD" w:rsidP="00605EBD"/>
    <w:p w14:paraId="1E79A8C9" w14:textId="77777777" w:rsidR="00605EBD" w:rsidRDefault="00605EBD" w:rsidP="00605EBD">
      <w:pPr>
        <w:spacing w:after="0" w:line="240" w:lineRule="auto"/>
        <w:jc w:val="both"/>
        <w:rPr>
          <w:rFonts w:ascii="Times New Roman" w:hAnsi="Times New Roman" w:cs="Times New Roman"/>
          <w:sz w:val="24"/>
          <w:szCs w:val="24"/>
        </w:rPr>
      </w:pPr>
    </w:p>
    <w:p w14:paraId="3C4CEB21" w14:textId="77777777" w:rsidR="00605EBD" w:rsidRDefault="00605EBD" w:rsidP="00605EBD">
      <w:pPr>
        <w:spacing w:after="0" w:line="240" w:lineRule="auto"/>
        <w:jc w:val="both"/>
        <w:rPr>
          <w:rFonts w:ascii="Times New Roman" w:hAnsi="Times New Roman" w:cs="Times New Roman"/>
          <w:sz w:val="24"/>
          <w:szCs w:val="24"/>
        </w:rPr>
      </w:pPr>
    </w:p>
    <w:p w14:paraId="6DE52F19" w14:textId="77777777" w:rsidR="00605EBD" w:rsidRPr="009E1888" w:rsidRDefault="00605EBD" w:rsidP="00605EBD">
      <w:pPr>
        <w:spacing w:after="0" w:line="240" w:lineRule="auto"/>
        <w:jc w:val="both"/>
        <w:rPr>
          <w:rFonts w:ascii="Times New Roman" w:hAnsi="Times New Roman" w:cs="Times New Roman"/>
          <w:sz w:val="24"/>
          <w:szCs w:val="24"/>
        </w:rPr>
      </w:pPr>
    </w:p>
    <w:p w14:paraId="0C4CB152" w14:textId="77777777" w:rsidR="00605EBD" w:rsidRPr="009E1888" w:rsidRDefault="00605EBD" w:rsidP="00605EBD">
      <w:pPr>
        <w:spacing w:after="0" w:line="240" w:lineRule="auto"/>
        <w:jc w:val="both"/>
        <w:rPr>
          <w:rFonts w:ascii="Times New Roman" w:hAnsi="Times New Roman" w:cs="Times New Roman"/>
          <w:sz w:val="24"/>
          <w:szCs w:val="24"/>
        </w:rPr>
      </w:pPr>
    </w:p>
    <w:p w14:paraId="753B452B"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Results</w:t>
      </w:r>
    </w:p>
    <w:p w14:paraId="7DD96D2A"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Identification of Parkinson related targets</w:t>
      </w:r>
    </w:p>
    <w:p w14:paraId="193DEFDA" w14:textId="77777777" w:rsidR="00605EBD" w:rsidRPr="00EB262E"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A total of 5006 Parkinson's disease-related genes were obtained from the GeneCards database and intersected with the 420 combined targets of A. Afriana compounds. 256 targets were isolated with an association with Parkinson’s disease. A Venn diagram (Figure 1) was constructed, revealing these targets, and subjected to further analysis. A protein-protein interaction network (Figure S1) of identified targets was constructed using the STRING database.</w:t>
      </w:r>
    </w:p>
    <w:p w14:paraId="782740F4" w14:textId="77777777" w:rsidR="00605EBD" w:rsidRPr="009E1888" w:rsidRDefault="00605EBD" w:rsidP="00605EBD">
      <w:pPr>
        <w:spacing w:after="0" w:line="240" w:lineRule="auto"/>
        <w:jc w:val="both"/>
        <w:rPr>
          <w:rFonts w:ascii="Times New Roman" w:hAnsi="Times New Roman" w:cs="Times New Roman"/>
          <w:sz w:val="24"/>
          <w:szCs w:val="24"/>
        </w:rPr>
      </w:pPr>
    </w:p>
    <w:p w14:paraId="14F3CAC7" w14:textId="77777777" w:rsidR="00605EBD" w:rsidRPr="009E1888" w:rsidRDefault="00605EBD" w:rsidP="00605EBD">
      <w:pPr>
        <w:spacing w:after="0" w:line="240" w:lineRule="auto"/>
        <w:jc w:val="center"/>
        <w:rPr>
          <w:rFonts w:ascii="Times New Roman" w:hAnsi="Times New Roman" w:cs="Times New Roman"/>
          <w:b/>
          <w:bCs/>
          <w:sz w:val="24"/>
          <w:szCs w:val="24"/>
        </w:rPr>
      </w:pPr>
      <w:r w:rsidRPr="009E1888">
        <w:rPr>
          <w:rFonts w:ascii="Times New Roman" w:hAnsi="Times New Roman" w:cs="Times New Roman"/>
          <w:noProof/>
          <w:sz w:val="24"/>
          <w:szCs w:val="24"/>
        </w:rPr>
        <w:drawing>
          <wp:inline distT="0" distB="0" distL="0" distR="0" wp14:anchorId="08D9A3BF" wp14:editId="206B819F">
            <wp:extent cx="4438650" cy="31827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6034" cy="3195189"/>
                    </a:xfrm>
                    <a:prstGeom prst="rect">
                      <a:avLst/>
                    </a:prstGeom>
                    <a:noFill/>
                    <a:ln>
                      <a:noFill/>
                    </a:ln>
                  </pic:spPr>
                </pic:pic>
              </a:graphicData>
            </a:graphic>
          </wp:inline>
        </w:drawing>
      </w:r>
    </w:p>
    <w:p w14:paraId="67B6EAC4" w14:textId="77777777" w:rsidR="00605EBD" w:rsidRPr="009E1888" w:rsidRDefault="00605EBD" w:rsidP="00605EBD">
      <w:pPr>
        <w:spacing w:after="0" w:line="240" w:lineRule="auto"/>
        <w:rPr>
          <w:rFonts w:ascii="Times New Roman" w:hAnsi="Times New Roman" w:cs="Times New Roman"/>
          <w:sz w:val="24"/>
          <w:szCs w:val="24"/>
        </w:rPr>
      </w:pPr>
      <w:r w:rsidRPr="009E1888">
        <w:rPr>
          <w:rFonts w:ascii="Times New Roman" w:hAnsi="Times New Roman" w:cs="Times New Roman"/>
          <w:b/>
          <w:bCs/>
          <w:sz w:val="24"/>
          <w:szCs w:val="24"/>
        </w:rPr>
        <w:t>Fig</w:t>
      </w:r>
      <w:r>
        <w:rPr>
          <w:rFonts w:ascii="Times New Roman" w:hAnsi="Times New Roman" w:cs="Times New Roman"/>
          <w:b/>
          <w:bCs/>
          <w:sz w:val="24"/>
          <w:szCs w:val="24"/>
        </w:rPr>
        <w:t xml:space="preserve">ure </w:t>
      </w:r>
      <w:r w:rsidRPr="009E1888">
        <w:rPr>
          <w:rFonts w:ascii="Times New Roman" w:hAnsi="Times New Roman" w:cs="Times New Roman"/>
          <w:b/>
          <w:bCs/>
          <w:sz w:val="24"/>
          <w:szCs w:val="24"/>
        </w:rPr>
        <w:t>1</w:t>
      </w:r>
      <w:r>
        <w:rPr>
          <w:rFonts w:ascii="Times New Roman" w:hAnsi="Times New Roman" w:cs="Times New Roman"/>
          <w:b/>
          <w:bCs/>
          <w:sz w:val="24"/>
          <w:szCs w:val="24"/>
        </w:rPr>
        <w:t>:</w:t>
      </w:r>
      <w:r w:rsidRPr="009E1888">
        <w:rPr>
          <w:rFonts w:ascii="Times New Roman" w:hAnsi="Times New Roman" w:cs="Times New Roman"/>
          <w:b/>
          <w:bCs/>
          <w:sz w:val="24"/>
          <w:szCs w:val="24"/>
        </w:rPr>
        <w:t xml:space="preserve"> </w:t>
      </w:r>
      <w:r w:rsidRPr="009E1888">
        <w:rPr>
          <w:rFonts w:ascii="Times New Roman" w:hAnsi="Times New Roman" w:cs="Times New Roman"/>
          <w:sz w:val="24"/>
          <w:szCs w:val="24"/>
        </w:rPr>
        <w:t xml:space="preserve">Venn diagram of Parkinson related genes intersected with targets of A. Africana compound targets. </w:t>
      </w:r>
    </w:p>
    <w:p w14:paraId="6F593D10" w14:textId="77777777" w:rsidR="00605EBD" w:rsidRPr="009E1888" w:rsidRDefault="00605EBD" w:rsidP="00605EBD">
      <w:pPr>
        <w:spacing w:after="0" w:line="240" w:lineRule="auto"/>
        <w:rPr>
          <w:rFonts w:ascii="Times New Roman" w:hAnsi="Times New Roman" w:cs="Times New Roman"/>
          <w:sz w:val="24"/>
          <w:szCs w:val="24"/>
        </w:rPr>
      </w:pPr>
    </w:p>
    <w:p w14:paraId="4D88832D" w14:textId="77777777" w:rsidR="00605EBD" w:rsidRPr="009E1888" w:rsidRDefault="00605EBD" w:rsidP="00605EBD">
      <w:pPr>
        <w:spacing w:after="0" w:line="240" w:lineRule="auto"/>
        <w:rPr>
          <w:rFonts w:ascii="Times New Roman" w:hAnsi="Times New Roman" w:cs="Times New Roman"/>
          <w:b/>
          <w:bCs/>
          <w:sz w:val="24"/>
          <w:szCs w:val="24"/>
        </w:rPr>
      </w:pPr>
      <w:r w:rsidRPr="009E1888">
        <w:rPr>
          <w:rFonts w:ascii="Times New Roman" w:hAnsi="Times New Roman" w:cs="Times New Roman"/>
          <w:b/>
          <w:bCs/>
          <w:sz w:val="24"/>
          <w:szCs w:val="24"/>
        </w:rPr>
        <w:t>Hub gene of Parkinson related targets and Protein-Protein interaction network</w:t>
      </w:r>
    </w:p>
    <w:p w14:paraId="091D32A3" w14:textId="77777777" w:rsidR="00605EBD" w:rsidRPr="00EB262E"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 xml:space="preserve">To further identify the most crucial targets in each network, all nodes and edges were analyzed using the CytoHubba algorithm. From the analysis, the top 20 hub genes (Figure S2), TP53, SRC, STAT3, MAPK1, AKT1, PIK3CA, HSP900AA1, ESR1, PIK3CB, PTK2, HSP90AB1, RAF1, CASP3, EGFR, MAPK8, EP300, PRKACA, BCL2, LYN, and TNF were used for STRING protein-protein analysis to identify interaction network of the proteins (Figure S3). The interaction network of the 20 proteins exhibited 170 different edges with an average nodal degree of 17, a clustering coefficient of 0.921, and a p-value of 4.94e-08. </w:t>
      </w:r>
    </w:p>
    <w:p w14:paraId="402C5029" w14:textId="77777777" w:rsidR="00605EBD" w:rsidRPr="00EB262E" w:rsidRDefault="00605EBD" w:rsidP="00605EBD">
      <w:pPr>
        <w:spacing w:after="0" w:line="240" w:lineRule="auto"/>
        <w:jc w:val="both"/>
        <w:rPr>
          <w:rFonts w:ascii="Times New Roman" w:hAnsi="Times New Roman" w:cs="Times New Roman"/>
          <w:sz w:val="24"/>
          <w:szCs w:val="24"/>
        </w:rPr>
      </w:pPr>
    </w:p>
    <w:p w14:paraId="7F0C1087" w14:textId="77777777" w:rsidR="00605EBD" w:rsidRPr="00EB262E" w:rsidRDefault="00605EBD" w:rsidP="00605EBD">
      <w:pPr>
        <w:spacing w:after="0" w:line="240" w:lineRule="auto"/>
        <w:jc w:val="both"/>
        <w:rPr>
          <w:rFonts w:ascii="Times New Roman" w:hAnsi="Times New Roman" w:cs="Times New Roman"/>
          <w:b/>
          <w:bCs/>
          <w:sz w:val="24"/>
          <w:szCs w:val="24"/>
        </w:rPr>
      </w:pPr>
      <w:r w:rsidRPr="00EB262E">
        <w:rPr>
          <w:rFonts w:ascii="Times New Roman" w:hAnsi="Times New Roman" w:cs="Times New Roman"/>
          <w:b/>
          <w:bCs/>
          <w:sz w:val="24"/>
          <w:szCs w:val="24"/>
        </w:rPr>
        <w:t>Validation of Parkinson related targets and enrichment analysis</w:t>
      </w:r>
    </w:p>
    <w:p w14:paraId="0CE310DE" w14:textId="77777777" w:rsidR="00605EBD" w:rsidRPr="00EB262E"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 xml:space="preserve">The hub genes were validated using DISGeNET, key genes including AKT1, ESR1, LYN, TNF, CASP3, MAPK8, SRC, EGFR, TP53, were validated to play key role in Parkison’s disease(Figure 2). DISGeNet provides data on gene-disease associations from multiple sources, including curated databases, genome-wide association studies, and scientific literature.  The validation was carried out using the </w:t>
      </w:r>
      <w:r w:rsidRPr="00EB262E">
        <w:rPr>
          <w:rStyle w:val="EndNoteBibliographyChar"/>
          <w:rFonts w:ascii="Times New Roman" w:hAnsi="Times New Roman" w:cs="Times New Roman"/>
          <w:sz w:val="24"/>
          <w:szCs w:val="24"/>
        </w:rPr>
        <w:t>METAscape</w:t>
      </w:r>
      <w:r w:rsidRPr="00EB262E">
        <w:rPr>
          <w:rFonts w:ascii="Times New Roman" w:hAnsi="Times New Roman" w:cs="Times New Roman"/>
          <w:b/>
          <w:bCs/>
          <w:sz w:val="24"/>
          <w:szCs w:val="24"/>
        </w:rPr>
        <w:t xml:space="preserve"> </w:t>
      </w:r>
      <w:r w:rsidRPr="00EB262E">
        <w:rPr>
          <w:rFonts w:ascii="Times New Roman" w:hAnsi="Times New Roman" w:cs="Times New Roman"/>
          <w:sz w:val="24"/>
          <w:szCs w:val="24"/>
        </w:rPr>
        <w:t>web server, which incorporates DISGeNET for functional enrichment and disease relevance analysis. The validated genes were analyzed for pathway enrichment. The study revealed an involvement of these genes in major cellular components such as the neuronal cell body (GO:0043025), glutamatergic synapse (GO:0098978), postsynaptic specialization (GO:0099572), and cell-cell junction (GO:0005911) that were found to be majorly modulated by AKT1, CASp3, LYN, SRC, and EGFR (Figure 3a). Also, further analysis into the biological process revealed a regulation of key process implicated in Parkinson’s disease. Genes including AKT1, EGFR, LYN, TNF, and TP53 played major roles in modulating the regulation of glial cell proliferation (GO:0060251), neuroinflammation response (GO:0150076), regulation of protein kinase activity (GO:0045859), and positive regulation of phosphorylation (GO:0042327) (Figure 3b). Furthermore, the analysis explored the molecular function of the genes and revealed their involvement in ATPase binding (GO:0051117), DNA-binding transcription factor binding (GO:0140297), 14-3-3 protein binding (GO:0071889), and protease binding (GO:0002020) (Figure 3c). Genes AKT1, TP53, ESR1 and EGFR played major roles in modulating these molecular functions.</w:t>
      </w:r>
    </w:p>
    <w:p w14:paraId="7E0AD801" w14:textId="77777777" w:rsidR="00605EBD" w:rsidRPr="009E1888" w:rsidRDefault="00605EBD" w:rsidP="00605EBD">
      <w:pPr>
        <w:spacing w:after="0" w:line="240" w:lineRule="auto"/>
        <w:jc w:val="both"/>
        <w:rPr>
          <w:rFonts w:ascii="Times New Roman" w:hAnsi="Times New Roman" w:cs="Times New Roman"/>
          <w:sz w:val="24"/>
          <w:szCs w:val="24"/>
        </w:rPr>
      </w:pPr>
    </w:p>
    <w:p w14:paraId="010DA9E2" w14:textId="77777777" w:rsidR="00605EBD" w:rsidRPr="009E1888" w:rsidRDefault="00605EBD" w:rsidP="00605EBD">
      <w:pPr>
        <w:spacing w:after="0" w:line="240" w:lineRule="auto"/>
        <w:jc w:val="center"/>
        <w:rPr>
          <w:rFonts w:ascii="Times New Roman" w:hAnsi="Times New Roman" w:cs="Times New Roman"/>
          <w:b/>
          <w:bCs/>
          <w:sz w:val="24"/>
          <w:szCs w:val="24"/>
        </w:rPr>
      </w:pPr>
      <w:r w:rsidRPr="009E1888">
        <w:rPr>
          <w:rFonts w:ascii="Times New Roman" w:hAnsi="Times New Roman" w:cs="Times New Roman"/>
          <w:noProof/>
          <w:sz w:val="24"/>
          <w:szCs w:val="24"/>
        </w:rPr>
        <w:drawing>
          <wp:inline distT="0" distB="0" distL="0" distR="0" wp14:anchorId="5758832F" wp14:editId="79AD746B">
            <wp:extent cx="3800475" cy="3233652"/>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2106" cy="3243549"/>
                    </a:xfrm>
                    <a:prstGeom prst="rect">
                      <a:avLst/>
                    </a:prstGeom>
                    <a:noFill/>
                    <a:ln>
                      <a:noFill/>
                    </a:ln>
                  </pic:spPr>
                </pic:pic>
              </a:graphicData>
            </a:graphic>
          </wp:inline>
        </w:drawing>
      </w:r>
    </w:p>
    <w:p w14:paraId="043AFEF9" w14:textId="77777777" w:rsidR="00605EBD" w:rsidRPr="009E1888" w:rsidRDefault="00605EBD" w:rsidP="00605EBD">
      <w:pPr>
        <w:spacing w:after="0" w:line="240" w:lineRule="auto"/>
        <w:rPr>
          <w:rFonts w:ascii="Times New Roman" w:hAnsi="Times New Roman" w:cs="Times New Roman"/>
          <w:sz w:val="24"/>
          <w:szCs w:val="24"/>
        </w:rPr>
      </w:pPr>
      <w:r w:rsidRPr="009E1888">
        <w:rPr>
          <w:rFonts w:ascii="Times New Roman" w:hAnsi="Times New Roman" w:cs="Times New Roman"/>
          <w:b/>
          <w:bCs/>
          <w:sz w:val="24"/>
          <w:szCs w:val="24"/>
        </w:rPr>
        <w:t>Fig</w:t>
      </w:r>
      <w:r>
        <w:rPr>
          <w:rFonts w:ascii="Times New Roman" w:hAnsi="Times New Roman" w:cs="Times New Roman"/>
          <w:b/>
          <w:bCs/>
          <w:sz w:val="24"/>
          <w:szCs w:val="24"/>
        </w:rPr>
        <w:t>ure</w:t>
      </w:r>
      <w:r w:rsidRPr="009E1888">
        <w:rPr>
          <w:rFonts w:ascii="Times New Roman" w:hAnsi="Times New Roman" w:cs="Times New Roman"/>
          <w:b/>
          <w:bCs/>
          <w:sz w:val="24"/>
          <w:szCs w:val="24"/>
        </w:rPr>
        <w:t xml:space="preserve"> 2: </w:t>
      </w:r>
      <w:r w:rsidRPr="009E1888">
        <w:rPr>
          <w:rFonts w:ascii="Times New Roman" w:hAnsi="Times New Roman" w:cs="Times New Roman"/>
          <w:sz w:val="24"/>
          <w:szCs w:val="24"/>
        </w:rPr>
        <w:t>Cytoscape network of top 20 hub genes. Yellow nodes represent genes validated by cross-referencing with the DISGeNET database on the METAscape platform.</w:t>
      </w:r>
    </w:p>
    <w:tbl>
      <w:tblPr>
        <w:tblW w:w="9743" w:type="dxa"/>
        <w:tblLook w:val="04A0" w:firstRow="1" w:lastRow="0" w:firstColumn="1" w:lastColumn="0" w:noHBand="0" w:noVBand="1"/>
      </w:tblPr>
      <w:tblGrid>
        <w:gridCol w:w="5226"/>
        <w:gridCol w:w="5046"/>
      </w:tblGrid>
      <w:tr w:rsidR="00605EBD" w:rsidRPr="009E1888" w14:paraId="4096B832" w14:textId="77777777" w:rsidTr="00697CA9">
        <w:trPr>
          <w:trHeight w:val="4992"/>
        </w:trPr>
        <w:tc>
          <w:tcPr>
            <w:tcW w:w="4858" w:type="dxa"/>
          </w:tcPr>
          <w:p w14:paraId="66544EF4" w14:textId="77777777" w:rsidR="00605EBD" w:rsidRPr="009E1888" w:rsidRDefault="00605EBD" w:rsidP="00697CA9">
            <w:pPr>
              <w:pStyle w:val="EndNoteBibliographyTitle"/>
              <w:rPr>
                <w:rFonts w:ascii="Times New Roman" w:hAnsi="Times New Roman" w:cs="Times New Roman"/>
                <w:b/>
                <w:bCs/>
                <w:sz w:val="24"/>
                <w:szCs w:val="24"/>
              </w:rPr>
            </w:pPr>
          </w:p>
          <w:p w14:paraId="4B65CA54" w14:textId="77777777" w:rsidR="00605EBD" w:rsidRPr="009E1888" w:rsidRDefault="00605EBD" w:rsidP="00697CA9">
            <w:pPr>
              <w:pStyle w:val="EndNoteBibliographyTitle"/>
              <w:rPr>
                <w:rFonts w:ascii="Times New Roman" w:hAnsi="Times New Roman" w:cs="Times New Roman"/>
                <w:b/>
                <w:bCs/>
                <w:sz w:val="24"/>
                <w:szCs w:val="24"/>
              </w:rPr>
            </w:pPr>
            <w:r w:rsidRPr="009E1888">
              <w:rPr>
                <w:rFonts w:ascii="Times New Roman" w:hAnsi="Times New Roman" w:cs="Times New Roman"/>
                <w:b/>
                <w:bCs/>
                <w:sz w:val="24"/>
                <w:szCs w:val="24"/>
              </w:rPr>
              <w:t>a)</w:t>
            </w:r>
          </w:p>
          <w:p w14:paraId="1B0FD162" w14:textId="77777777" w:rsidR="00605EBD" w:rsidRPr="009E1888" w:rsidRDefault="00605EBD" w:rsidP="00697CA9">
            <w:pPr>
              <w:pStyle w:val="EndNoteBibliographyTitle"/>
              <w:rPr>
                <w:rFonts w:ascii="Times New Roman" w:hAnsi="Times New Roman" w:cs="Times New Roman"/>
                <w:b/>
                <w:bCs/>
                <w:sz w:val="24"/>
                <w:szCs w:val="24"/>
              </w:rPr>
            </w:pPr>
            <w:r w:rsidRPr="009E1888">
              <w:rPr>
                <w:rFonts w:ascii="Times New Roman" w:hAnsi="Times New Roman" w:cs="Times New Roman"/>
                <w:sz w:val="24"/>
                <w:szCs w:val="24"/>
              </w:rPr>
              <w:drawing>
                <wp:inline distT="0" distB="0" distL="0" distR="0" wp14:anchorId="0E581E9E" wp14:editId="659B3CAF">
                  <wp:extent cx="3177540" cy="2628763"/>
                  <wp:effectExtent l="0" t="0" r="381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299"/>
                          <a:stretch/>
                        </pic:blipFill>
                        <pic:spPr bwMode="auto">
                          <a:xfrm>
                            <a:off x="0" y="0"/>
                            <a:ext cx="3227892" cy="26704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85" w:type="dxa"/>
          </w:tcPr>
          <w:p w14:paraId="48E06069" w14:textId="77777777" w:rsidR="00605EBD" w:rsidRPr="009E1888" w:rsidRDefault="00605EBD" w:rsidP="00697CA9">
            <w:pPr>
              <w:pStyle w:val="EndNoteBibliographyTitle"/>
              <w:rPr>
                <w:rFonts w:ascii="Times New Roman" w:hAnsi="Times New Roman" w:cs="Times New Roman"/>
                <w:b/>
                <w:bCs/>
                <w:sz w:val="24"/>
                <w:szCs w:val="24"/>
              </w:rPr>
            </w:pPr>
          </w:p>
          <w:p w14:paraId="62DF84BE" w14:textId="77777777" w:rsidR="00605EBD" w:rsidRPr="009E1888" w:rsidRDefault="00605EBD" w:rsidP="00697CA9">
            <w:pPr>
              <w:pStyle w:val="EndNoteBibliographyTitle"/>
              <w:rPr>
                <w:rFonts w:ascii="Times New Roman" w:hAnsi="Times New Roman" w:cs="Times New Roman"/>
                <w:b/>
                <w:bCs/>
                <w:sz w:val="24"/>
                <w:szCs w:val="24"/>
              </w:rPr>
            </w:pPr>
            <w:r w:rsidRPr="009E1888">
              <w:rPr>
                <w:rFonts w:ascii="Times New Roman" w:hAnsi="Times New Roman" w:cs="Times New Roman"/>
                <w:b/>
                <w:bCs/>
                <w:sz w:val="24"/>
                <w:szCs w:val="24"/>
              </w:rPr>
              <w:t>b)</w:t>
            </w:r>
          </w:p>
          <w:p w14:paraId="33F45CBE" w14:textId="77777777" w:rsidR="00605EBD" w:rsidRPr="009E1888" w:rsidRDefault="00605EBD" w:rsidP="00697CA9">
            <w:pPr>
              <w:pStyle w:val="EndNoteBibliographyTitle"/>
              <w:rPr>
                <w:rFonts w:ascii="Times New Roman" w:hAnsi="Times New Roman" w:cs="Times New Roman"/>
                <w:b/>
                <w:bCs/>
                <w:sz w:val="24"/>
                <w:szCs w:val="24"/>
              </w:rPr>
            </w:pPr>
            <w:r w:rsidRPr="009E1888">
              <w:rPr>
                <w:rFonts w:ascii="Times New Roman" w:hAnsi="Times New Roman" w:cs="Times New Roman"/>
                <w:sz w:val="24"/>
                <w:szCs w:val="24"/>
              </w:rPr>
              <w:drawing>
                <wp:inline distT="0" distB="0" distL="0" distR="0" wp14:anchorId="0F73E2A3" wp14:editId="6BCA519E">
                  <wp:extent cx="3063240" cy="2587877"/>
                  <wp:effectExtent l="0" t="0" r="381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422" r="1883"/>
                          <a:stretch/>
                        </pic:blipFill>
                        <pic:spPr bwMode="auto">
                          <a:xfrm>
                            <a:off x="0" y="0"/>
                            <a:ext cx="3097557" cy="26168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1252177" w14:textId="77777777" w:rsidR="00605EBD" w:rsidRPr="009E1888" w:rsidRDefault="00605EBD" w:rsidP="00605EBD">
      <w:pPr>
        <w:pStyle w:val="EndNoteBibliographyTitle"/>
        <w:spacing w:line="240" w:lineRule="auto"/>
        <w:rPr>
          <w:rFonts w:ascii="Times New Roman" w:hAnsi="Times New Roman" w:cs="Times New Roman"/>
          <w:sz w:val="24"/>
          <w:szCs w:val="24"/>
        </w:rPr>
      </w:pPr>
    </w:p>
    <w:p w14:paraId="3881C120" w14:textId="77777777" w:rsidR="00605EBD" w:rsidRPr="009E1888" w:rsidRDefault="00605EBD" w:rsidP="00605EBD">
      <w:pPr>
        <w:spacing w:after="0" w:line="240" w:lineRule="auto"/>
        <w:rPr>
          <w:rFonts w:ascii="Times New Roman" w:hAnsi="Times New Roman" w:cs="Times New Roman"/>
          <w:sz w:val="24"/>
          <w:szCs w:val="24"/>
        </w:rPr>
      </w:pPr>
    </w:p>
    <w:p w14:paraId="64DABBDE" w14:textId="77777777" w:rsidR="00605EBD" w:rsidRPr="009E1888" w:rsidRDefault="00605EBD" w:rsidP="00605EBD">
      <w:pPr>
        <w:spacing w:after="0" w:line="240" w:lineRule="auto"/>
        <w:rPr>
          <w:rFonts w:ascii="Times New Roman" w:hAnsi="Times New Roman" w:cs="Times New Roman"/>
          <w:sz w:val="24"/>
          <w:szCs w:val="24"/>
        </w:rPr>
      </w:pPr>
    </w:p>
    <w:p w14:paraId="36662C49" w14:textId="77777777" w:rsidR="00605EBD" w:rsidRPr="009E1888" w:rsidRDefault="00605EBD" w:rsidP="00605EBD">
      <w:pPr>
        <w:spacing w:after="0" w:line="240" w:lineRule="auto"/>
        <w:rPr>
          <w:rFonts w:ascii="Times New Roman" w:hAnsi="Times New Roman" w:cs="Times New Roman"/>
          <w:sz w:val="24"/>
          <w:szCs w:val="24"/>
        </w:rPr>
      </w:pPr>
    </w:p>
    <w:p w14:paraId="08BDB0EF" w14:textId="77777777" w:rsidR="00605EBD" w:rsidRPr="009E1888" w:rsidRDefault="00605EBD" w:rsidP="00605EBD">
      <w:pPr>
        <w:spacing w:after="0" w:line="240" w:lineRule="auto"/>
        <w:rPr>
          <w:rFonts w:ascii="Times New Roman" w:hAnsi="Times New Roman" w:cs="Times New Roman"/>
          <w:b/>
          <w:bCs/>
          <w:sz w:val="24"/>
          <w:szCs w:val="24"/>
        </w:rPr>
      </w:pPr>
      <w:r w:rsidRPr="009E1888">
        <w:rPr>
          <w:rFonts w:ascii="Times New Roman" w:hAnsi="Times New Roman" w:cs="Times New Roman"/>
          <w:b/>
          <w:bCs/>
          <w:sz w:val="24"/>
          <w:szCs w:val="24"/>
        </w:rPr>
        <w:t xml:space="preserve">c)  </w:t>
      </w:r>
    </w:p>
    <w:p w14:paraId="70396E14" w14:textId="77777777" w:rsidR="00605EBD" w:rsidRPr="009E1888" w:rsidRDefault="00605EBD" w:rsidP="00605EBD">
      <w:pPr>
        <w:spacing w:after="0" w:line="240" w:lineRule="auto"/>
        <w:rPr>
          <w:rFonts w:ascii="Times New Roman" w:hAnsi="Times New Roman" w:cs="Times New Roman"/>
          <w:b/>
          <w:bCs/>
          <w:sz w:val="24"/>
          <w:szCs w:val="24"/>
        </w:rPr>
      </w:pPr>
      <w:r w:rsidRPr="009E1888">
        <w:rPr>
          <w:rFonts w:ascii="Times New Roman" w:hAnsi="Times New Roman" w:cs="Times New Roman"/>
          <w:noProof/>
          <w:sz w:val="24"/>
          <w:szCs w:val="24"/>
        </w:rPr>
        <w:drawing>
          <wp:inline distT="0" distB="0" distL="0" distR="0" wp14:anchorId="4BAA0266" wp14:editId="542AE163">
            <wp:extent cx="2999945" cy="2532855"/>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426" r="1821"/>
                    <a:stretch/>
                  </pic:blipFill>
                  <pic:spPr bwMode="auto">
                    <a:xfrm>
                      <a:off x="0" y="0"/>
                      <a:ext cx="3013713" cy="2544479"/>
                    </a:xfrm>
                    <a:prstGeom prst="rect">
                      <a:avLst/>
                    </a:prstGeom>
                    <a:noFill/>
                    <a:ln>
                      <a:noFill/>
                    </a:ln>
                    <a:extLst>
                      <a:ext uri="{53640926-AAD7-44D8-BBD7-CCE9431645EC}">
                        <a14:shadowObscured xmlns:a14="http://schemas.microsoft.com/office/drawing/2010/main"/>
                      </a:ext>
                    </a:extLst>
                  </pic:spPr>
                </pic:pic>
              </a:graphicData>
            </a:graphic>
          </wp:inline>
        </w:drawing>
      </w:r>
    </w:p>
    <w:p w14:paraId="6640EA60" w14:textId="77777777" w:rsidR="00605EBD"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b/>
          <w:bCs/>
          <w:sz w:val="24"/>
          <w:szCs w:val="24"/>
        </w:rPr>
        <w:t>Fig</w:t>
      </w:r>
      <w:r>
        <w:rPr>
          <w:rFonts w:ascii="Times New Roman" w:hAnsi="Times New Roman" w:cs="Times New Roman"/>
          <w:b/>
          <w:bCs/>
          <w:sz w:val="24"/>
          <w:szCs w:val="24"/>
        </w:rPr>
        <w:t>ure</w:t>
      </w:r>
      <w:r w:rsidRPr="009E1888">
        <w:rPr>
          <w:rFonts w:ascii="Times New Roman" w:hAnsi="Times New Roman" w:cs="Times New Roman"/>
          <w:b/>
          <w:bCs/>
          <w:sz w:val="24"/>
          <w:szCs w:val="24"/>
        </w:rPr>
        <w:t xml:space="preserve"> 3</w:t>
      </w:r>
      <w:r>
        <w:rPr>
          <w:rFonts w:ascii="Times New Roman" w:hAnsi="Times New Roman" w:cs="Times New Roman"/>
          <w:b/>
          <w:bCs/>
          <w:sz w:val="24"/>
          <w:szCs w:val="24"/>
        </w:rPr>
        <w:t>:</w:t>
      </w:r>
      <w:r w:rsidRPr="00AB076E">
        <w:rPr>
          <w:rFonts w:ascii="Times New Roman" w:hAnsi="Times New Roman" w:cs="Times New Roman"/>
          <w:sz w:val="24"/>
          <w:szCs w:val="24"/>
        </w:rPr>
        <w:t xml:space="preserve"> Gene ontology and enrichment analysis revealing the involvement of genes in key cellular components (a), biological processes (b), and molecular functions (c)</w:t>
      </w:r>
      <w:r w:rsidRPr="009E1888">
        <w:rPr>
          <w:rFonts w:ascii="Times New Roman" w:hAnsi="Times New Roman" w:cs="Times New Roman"/>
          <w:sz w:val="24"/>
          <w:szCs w:val="24"/>
        </w:rPr>
        <w:t>. Increasing node intensity from blue to red depicts a lower p-value, and larger nodes represent more gene counts.</w:t>
      </w:r>
    </w:p>
    <w:p w14:paraId="636C617B" w14:textId="77777777" w:rsidR="00605EBD" w:rsidRDefault="00605EBD" w:rsidP="00605EBD">
      <w:pPr>
        <w:spacing w:after="0" w:line="240" w:lineRule="auto"/>
        <w:jc w:val="both"/>
        <w:rPr>
          <w:rFonts w:ascii="Times New Roman" w:hAnsi="Times New Roman" w:cs="Times New Roman"/>
          <w:b/>
          <w:bCs/>
          <w:sz w:val="24"/>
          <w:szCs w:val="24"/>
        </w:rPr>
      </w:pPr>
    </w:p>
    <w:p w14:paraId="4FE48825"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Molecular Docking studies</w:t>
      </w:r>
    </w:p>
    <w:p w14:paraId="0D47D2D4" w14:textId="77777777" w:rsidR="00605EBD" w:rsidRPr="00EB262E"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 xml:space="preserve">The protein-ligand docking using PyRx was carried out, which gives the binding energy of the ligand to its active site. The strength of the interactions was quantified by their binding energy (ΔG), measured in kilocalories per mole (kcal/mol), Table 1. The active compounds were docked to </w:t>
      </w:r>
      <w:r w:rsidRPr="00EB262E">
        <w:rPr>
          <w:rFonts w:ascii="Times New Roman" w:hAnsi="Times New Roman" w:cs="Times New Roman"/>
          <w:iCs/>
          <w:sz w:val="24"/>
          <w:szCs w:val="24"/>
        </w:rPr>
        <w:t xml:space="preserve">the crystal structure of </w:t>
      </w:r>
      <w:r w:rsidRPr="00EB262E">
        <w:rPr>
          <w:rFonts w:ascii="Times New Roman" w:hAnsi="Times New Roman" w:cs="Times New Roman"/>
          <w:sz w:val="24"/>
          <w:szCs w:val="24"/>
        </w:rPr>
        <w:t>AKT1, ESR1, LYN, TNF, CASP3, MAPK8, SRC, EGFR, and TP53 in a grid box with dimensions enumerated in Table S2. Compounds and their target proteins have been enumerated in Table 1. Lower binding energies indicate stronger binding affinities, typically categorized as strong (≤ -8.0 kcal/mol), moderate (-7.0 to -8.0 kcal/mol), or weak (≥ -7.0 kcal/mol). Various types of interactions between ligand and receptor proteins were also observed. These interactions include hydrogen bonding, hydrophobic interactions, electrostatic interactions, π-π stacking, and van der Waals forces. The binding modes and the locations of the plausible binding pockets for the compounds for each target are shown in Figure 4 and Figure S4.</w:t>
      </w:r>
    </w:p>
    <w:p w14:paraId="176FCB43" w14:textId="77777777" w:rsidR="00605EBD" w:rsidRPr="00EB262E"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In this study, the highest negative binding affinity was reported to be -10 Kcal/mol and exsisted between Isoquercitrin and Akt1 (Figure 4b), with a favorable conventional hydrogen bond existing as the predominant interaction between ILE 290, THR211, ASP292, THR82, VAL271, ASN54, and LYS268 within the binding pocket region. Other noteworthy interactions were existed between Ellagic acid and SRC (Figure 4a), Rutin and SRC (Figure 4f), Rutin and ESR1 (Figure 4d), Rutin and EGFR (Figure 4e), Rutin and TPF3 (Figure 4g), and Quercetin and EGFR (Figure 4c), with binding affinities ranging between -8.0 to -9.0 kcal/mol. Rutin was shown to target more Parkinson-related targets with good binding affinities for all proteins.</w:t>
      </w:r>
    </w:p>
    <w:p w14:paraId="36D57E51" w14:textId="77777777" w:rsidR="00605EBD" w:rsidRPr="009E1888" w:rsidRDefault="00605EBD" w:rsidP="00605EBD">
      <w:pPr>
        <w:spacing w:after="0" w:line="240" w:lineRule="auto"/>
        <w:jc w:val="both"/>
        <w:rPr>
          <w:rFonts w:ascii="Times New Roman" w:hAnsi="Times New Roman" w:cs="Times New Roman"/>
          <w:sz w:val="24"/>
          <w:szCs w:val="24"/>
        </w:rPr>
      </w:pPr>
    </w:p>
    <w:p w14:paraId="375BAD03" w14:textId="77777777" w:rsidR="00605EBD" w:rsidRPr="009E1888" w:rsidRDefault="00605EBD" w:rsidP="00605EBD">
      <w:pPr>
        <w:spacing w:after="0" w:line="240" w:lineRule="auto"/>
        <w:jc w:val="both"/>
        <w:rPr>
          <w:rFonts w:ascii="Times New Roman" w:hAnsi="Times New Roman" w:cs="Times New Roman"/>
          <w:sz w:val="24"/>
          <w:szCs w:val="24"/>
        </w:rPr>
      </w:pPr>
    </w:p>
    <w:p w14:paraId="53091FC9" w14:textId="77777777" w:rsidR="00605EBD" w:rsidRPr="009E1888" w:rsidRDefault="00605EBD" w:rsidP="00605EBD">
      <w:pPr>
        <w:spacing w:after="0" w:line="240" w:lineRule="auto"/>
        <w:jc w:val="both"/>
        <w:rPr>
          <w:rFonts w:ascii="Times New Roman" w:hAnsi="Times New Roman" w:cs="Times New Roman"/>
          <w:sz w:val="24"/>
          <w:szCs w:val="24"/>
        </w:rPr>
      </w:pPr>
    </w:p>
    <w:tbl>
      <w:tblPr>
        <w:tblW w:w="0" w:type="auto"/>
        <w:tblLook w:val="04A0" w:firstRow="1" w:lastRow="0" w:firstColumn="1" w:lastColumn="0" w:noHBand="0" w:noVBand="1"/>
      </w:tblPr>
      <w:tblGrid>
        <w:gridCol w:w="4356"/>
        <w:gridCol w:w="5004"/>
      </w:tblGrid>
      <w:tr w:rsidR="00605EBD" w:rsidRPr="009E1888" w14:paraId="79B16C16" w14:textId="77777777" w:rsidTr="00697CA9">
        <w:tc>
          <w:tcPr>
            <w:tcW w:w="4333" w:type="dxa"/>
          </w:tcPr>
          <w:p w14:paraId="201537BD"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a)</w:t>
            </w:r>
          </w:p>
          <w:p w14:paraId="69081FB4" w14:textId="77777777" w:rsidR="00605EBD" w:rsidRPr="009E1888" w:rsidRDefault="00605EBD" w:rsidP="00697CA9">
            <w:pPr>
              <w:jc w:val="both"/>
              <w:rPr>
                <w:rFonts w:ascii="Times New Roman" w:hAnsi="Times New Roman" w:cs="Times New Roman"/>
                <w:sz w:val="24"/>
                <w:szCs w:val="24"/>
              </w:rPr>
            </w:pPr>
            <w:r w:rsidRPr="009E1888">
              <w:rPr>
                <w:rFonts w:ascii="Times New Roman" w:hAnsi="Times New Roman" w:cs="Times New Roman"/>
                <w:noProof/>
                <w:sz w:val="24"/>
                <w:szCs w:val="24"/>
              </w:rPr>
              <w:drawing>
                <wp:inline distT="0" distB="0" distL="0" distR="0" wp14:anchorId="0C15871B" wp14:editId="30ECDF1E">
                  <wp:extent cx="2369820" cy="2319929"/>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73680" cy="2323707"/>
                          </a:xfrm>
                          <a:prstGeom prst="rect">
                            <a:avLst/>
                          </a:prstGeom>
                          <a:noFill/>
                          <a:ln>
                            <a:noFill/>
                          </a:ln>
                        </pic:spPr>
                      </pic:pic>
                    </a:graphicData>
                  </a:graphic>
                </wp:inline>
              </w:drawing>
            </w:r>
          </w:p>
        </w:tc>
        <w:tc>
          <w:tcPr>
            <w:tcW w:w="5017" w:type="dxa"/>
          </w:tcPr>
          <w:p w14:paraId="77B5389E"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b)</w:t>
            </w:r>
          </w:p>
          <w:p w14:paraId="7E4A0BBE" w14:textId="77777777" w:rsidR="00605EBD" w:rsidRPr="009E1888" w:rsidRDefault="00605EBD" w:rsidP="00697CA9">
            <w:pPr>
              <w:jc w:val="both"/>
              <w:rPr>
                <w:rFonts w:ascii="Times New Roman" w:hAnsi="Times New Roman" w:cs="Times New Roman"/>
                <w:sz w:val="24"/>
                <w:szCs w:val="24"/>
              </w:rPr>
            </w:pPr>
            <w:r w:rsidRPr="009E1888">
              <w:rPr>
                <w:rFonts w:ascii="Times New Roman" w:hAnsi="Times New Roman" w:cs="Times New Roman"/>
                <w:noProof/>
                <w:sz w:val="24"/>
                <w:szCs w:val="24"/>
              </w:rPr>
              <w:drawing>
                <wp:inline distT="0" distB="0" distL="0" distR="0" wp14:anchorId="0A38403E" wp14:editId="39BF91A3">
                  <wp:extent cx="2240280" cy="2074183"/>
                  <wp:effectExtent l="0" t="0" r="762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51680" cy="2084737"/>
                          </a:xfrm>
                          <a:prstGeom prst="rect">
                            <a:avLst/>
                          </a:prstGeom>
                          <a:noFill/>
                          <a:ln>
                            <a:noFill/>
                          </a:ln>
                        </pic:spPr>
                      </pic:pic>
                    </a:graphicData>
                  </a:graphic>
                </wp:inline>
              </w:drawing>
            </w:r>
          </w:p>
        </w:tc>
      </w:tr>
      <w:tr w:rsidR="00605EBD" w:rsidRPr="009E1888" w14:paraId="0595AB6F" w14:textId="77777777" w:rsidTr="00697CA9">
        <w:tc>
          <w:tcPr>
            <w:tcW w:w="4333" w:type="dxa"/>
          </w:tcPr>
          <w:p w14:paraId="268C6FC5"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c)</w:t>
            </w:r>
          </w:p>
          <w:p w14:paraId="74A8A211"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noProof/>
                <w:sz w:val="24"/>
                <w:szCs w:val="24"/>
              </w:rPr>
              <w:drawing>
                <wp:inline distT="0" distB="0" distL="0" distR="0" wp14:anchorId="03E04F66" wp14:editId="4F52B3E0">
                  <wp:extent cx="2621280" cy="2187940"/>
                  <wp:effectExtent l="0" t="0" r="762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3369" cy="2206377"/>
                          </a:xfrm>
                          <a:prstGeom prst="rect">
                            <a:avLst/>
                          </a:prstGeom>
                          <a:noFill/>
                          <a:ln>
                            <a:noFill/>
                          </a:ln>
                        </pic:spPr>
                      </pic:pic>
                    </a:graphicData>
                  </a:graphic>
                </wp:inline>
              </w:drawing>
            </w:r>
          </w:p>
        </w:tc>
        <w:tc>
          <w:tcPr>
            <w:tcW w:w="5017" w:type="dxa"/>
          </w:tcPr>
          <w:p w14:paraId="045E6DA6"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d)</w:t>
            </w:r>
          </w:p>
          <w:p w14:paraId="35A13C5E"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noProof/>
                <w:sz w:val="24"/>
                <w:szCs w:val="24"/>
              </w:rPr>
              <w:drawing>
                <wp:inline distT="0" distB="0" distL="0" distR="0" wp14:anchorId="32CB7E94" wp14:editId="43C3C450">
                  <wp:extent cx="2348692" cy="2202757"/>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63459" cy="2216607"/>
                          </a:xfrm>
                          <a:prstGeom prst="rect">
                            <a:avLst/>
                          </a:prstGeom>
                          <a:noFill/>
                          <a:ln>
                            <a:noFill/>
                          </a:ln>
                        </pic:spPr>
                      </pic:pic>
                    </a:graphicData>
                  </a:graphic>
                </wp:inline>
              </w:drawing>
            </w:r>
          </w:p>
        </w:tc>
      </w:tr>
    </w:tbl>
    <w:p w14:paraId="59DE6729" w14:textId="77777777" w:rsidR="00605EBD" w:rsidRPr="009E1888" w:rsidRDefault="00605EBD" w:rsidP="00605EBD">
      <w:pPr>
        <w:spacing w:after="0" w:line="240" w:lineRule="auto"/>
        <w:jc w:val="both"/>
        <w:rPr>
          <w:rFonts w:ascii="Times New Roman" w:hAnsi="Times New Roman" w:cs="Times New Roman"/>
          <w:sz w:val="24"/>
          <w:szCs w:val="24"/>
        </w:rPr>
      </w:pPr>
    </w:p>
    <w:p w14:paraId="442885AF" w14:textId="77777777" w:rsidR="00605EBD" w:rsidRPr="009E1888" w:rsidRDefault="00605EBD" w:rsidP="00605EBD">
      <w:pPr>
        <w:spacing w:after="0" w:line="240" w:lineRule="auto"/>
        <w:jc w:val="both"/>
        <w:rPr>
          <w:rFonts w:ascii="Times New Roman" w:hAnsi="Times New Roman" w:cs="Times New Roman"/>
          <w:sz w:val="24"/>
          <w:szCs w:val="24"/>
        </w:rPr>
      </w:pPr>
    </w:p>
    <w:tbl>
      <w:tblPr>
        <w:tblW w:w="0" w:type="auto"/>
        <w:tblLook w:val="04A0" w:firstRow="1" w:lastRow="0" w:firstColumn="1" w:lastColumn="0" w:noHBand="0" w:noVBand="1"/>
      </w:tblPr>
      <w:tblGrid>
        <w:gridCol w:w="4675"/>
        <w:gridCol w:w="4675"/>
      </w:tblGrid>
      <w:tr w:rsidR="00605EBD" w:rsidRPr="009E1888" w14:paraId="3B364407" w14:textId="77777777" w:rsidTr="00697CA9">
        <w:tc>
          <w:tcPr>
            <w:tcW w:w="4675" w:type="dxa"/>
          </w:tcPr>
          <w:p w14:paraId="619D52BA"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e)</w:t>
            </w:r>
          </w:p>
          <w:p w14:paraId="6B7BA6B3" w14:textId="77777777" w:rsidR="00605EBD" w:rsidRPr="009E1888" w:rsidRDefault="00605EBD" w:rsidP="00697CA9">
            <w:pPr>
              <w:jc w:val="both"/>
              <w:rPr>
                <w:rFonts w:ascii="Times New Roman" w:hAnsi="Times New Roman" w:cs="Times New Roman"/>
                <w:sz w:val="24"/>
                <w:szCs w:val="24"/>
              </w:rPr>
            </w:pPr>
            <w:r w:rsidRPr="009E1888">
              <w:rPr>
                <w:rFonts w:ascii="Times New Roman" w:hAnsi="Times New Roman" w:cs="Times New Roman"/>
                <w:noProof/>
                <w:sz w:val="24"/>
                <w:szCs w:val="24"/>
              </w:rPr>
              <w:drawing>
                <wp:inline distT="0" distB="0" distL="0" distR="0" wp14:anchorId="484F1504" wp14:editId="1CE62022">
                  <wp:extent cx="2514600" cy="23283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50109" cy="2361201"/>
                          </a:xfrm>
                          <a:prstGeom prst="rect">
                            <a:avLst/>
                          </a:prstGeom>
                          <a:noFill/>
                          <a:ln>
                            <a:noFill/>
                          </a:ln>
                        </pic:spPr>
                      </pic:pic>
                    </a:graphicData>
                  </a:graphic>
                </wp:inline>
              </w:drawing>
            </w:r>
          </w:p>
        </w:tc>
        <w:tc>
          <w:tcPr>
            <w:tcW w:w="4675" w:type="dxa"/>
          </w:tcPr>
          <w:p w14:paraId="01B707E8"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f)</w:t>
            </w:r>
          </w:p>
          <w:p w14:paraId="65B711E4" w14:textId="77777777" w:rsidR="00605EBD" w:rsidRPr="009E1888" w:rsidRDefault="00605EBD" w:rsidP="00697CA9">
            <w:pPr>
              <w:jc w:val="both"/>
              <w:rPr>
                <w:rFonts w:ascii="Times New Roman" w:hAnsi="Times New Roman" w:cs="Times New Roman"/>
                <w:sz w:val="24"/>
                <w:szCs w:val="24"/>
              </w:rPr>
            </w:pPr>
            <w:r w:rsidRPr="009E1888">
              <w:rPr>
                <w:rFonts w:ascii="Times New Roman" w:hAnsi="Times New Roman" w:cs="Times New Roman"/>
                <w:noProof/>
                <w:sz w:val="24"/>
                <w:szCs w:val="24"/>
              </w:rPr>
              <w:drawing>
                <wp:inline distT="0" distB="0" distL="0" distR="0" wp14:anchorId="436B7E7C" wp14:editId="6B9E7A1D">
                  <wp:extent cx="2156460" cy="1935688"/>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70141" cy="1947968"/>
                          </a:xfrm>
                          <a:prstGeom prst="rect">
                            <a:avLst/>
                          </a:prstGeom>
                          <a:noFill/>
                          <a:ln>
                            <a:noFill/>
                          </a:ln>
                        </pic:spPr>
                      </pic:pic>
                    </a:graphicData>
                  </a:graphic>
                </wp:inline>
              </w:drawing>
            </w:r>
          </w:p>
        </w:tc>
      </w:tr>
      <w:tr w:rsidR="00605EBD" w:rsidRPr="009E1888" w14:paraId="64FBD2AC" w14:textId="77777777" w:rsidTr="00697CA9">
        <w:tc>
          <w:tcPr>
            <w:tcW w:w="4675" w:type="dxa"/>
          </w:tcPr>
          <w:p w14:paraId="2BDC961D" w14:textId="77777777" w:rsidR="00605EBD" w:rsidRPr="009E1888" w:rsidRDefault="00605EBD" w:rsidP="00697CA9">
            <w:pPr>
              <w:jc w:val="both"/>
              <w:rPr>
                <w:rFonts w:ascii="Times New Roman" w:hAnsi="Times New Roman" w:cs="Times New Roman"/>
                <w:b/>
                <w:bCs/>
                <w:sz w:val="24"/>
                <w:szCs w:val="24"/>
              </w:rPr>
            </w:pPr>
            <w:r w:rsidRPr="009E1888">
              <w:rPr>
                <w:rFonts w:ascii="Times New Roman" w:hAnsi="Times New Roman" w:cs="Times New Roman"/>
                <w:b/>
                <w:bCs/>
                <w:sz w:val="24"/>
                <w:szCs w:val="24"/>
              </w:rPr>
              <w:t>g)</w:t>
            </w:r>
          </w:p>
          <w:p w14:paraId="48779AA5" w14:textId="77777777" w:rsidR="00605EBD" w:rsidRPr="009E1888" w:rsidRDefault="00605EBD" w:rsidP="00697CA9">
            <w:pPr>
              <w:jc w:val="both"/>
              <w:rPr>
                <w:rFonts w:ascii="Times New Roman" w:hAnsi="Times New Roman" w:cs="Times New Roman"/>
                <w:sz w:val="24"/>
                <w:szCs w:val="24"/>
              </w:rPr>
            </w:pPr>
            <w:r w:rsidRPr="009E1888">
              <w:rPr>
                <w:rFonts w:ascii="Times New Roman" w:hAnsi="Times New Roman" w:cs="Times New Roman"/>
                <w:noProof/>
                <w:sz w:val="24"/>
                <w:szCs w:val="24"/>
              </w:rPr>
              <w:drawing>
                <wp:inline distT="0" distB="0" distL="0" distR="0" wp14:anchorId="6D70B91A" wp14:editId="1879F93B">
                  <wp:extent cx="2209800" cy="2473993"/>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8402" cy="2494819"/>
                          </a:xfrm>
                          <a:prstGeom prst="rect">
                            <a:avLst/>
                          </a:prstGeom>
                          <a:noFill/>
                          <a:ln>
                            <a:noFill/>
                          </a:ln>
                        </pic:spPr>
                      </pic:pic>
                    </a:graphicData>
                  </a:graphic>
                </wp:inline>
              </w:drawing>
            </w:r>
          </w:p>
        </w:tc>
        <w:tc>
          <w:tcPr>
            <w:tcW w:w="4675" w:type="dxa"/>
          </w:tcPr>
          <w:p w14:paraId="2F748A0D" w14:textId="77777777" w:rsidR="00605EBD" w:rsidRPr="009E1888" w:rsidRDefault="00605EBD" w:rsidP="00697CA9">
            <w:pPr>
              <w:jc w:val="both"/>
              <w:rPr>
                <w:rFonts w:ascii="Times New Roman" w:hAnsi="Times New Roman" w:cs="Times New Roman"/>
                <w:b/>
                <w:bCs/>
                <w:sz w:val="24"/>
                <w:szCs w:val="24"/>
              </w:rPr>
            </w:pPr>
          </w:p>
          <w:p w14:paraId="24E0F3F5" w14:textId="77777777" w:rsidR="00605EBD" w:rsidRPr="009E1888" w:rsidRDefault="00605EBD" w:rsidP="00697CA9">
            <w:pPr>
              <w:jc w:val="both"/>
              <w:rPr>
                <w:rFonts w:ascii="Times New Roman" w:hAnsi="Times New Roman" w:cs="Times New Roman"/>
                <w:sz w:val="24"/>
                <w:szCs w:val="24"/>
              </w:rPr>
            </w:pPr>
          </w:p>
        </w:tc>
      </w:tr>
    </w:tbl>
    <w:p w14:paraId="2BCDF411" w14:textId="77777777" w:rsidR="00605EBD" w:rsidRDefault="00605EBD" w:rsidP="00605EBD">
      <w:pPr>
        <w:spacing w:after="0" w:line="240" w:lineRule="auto"/>
        <w:jc w:val="both"/>
        <w:rPr>
          <w:rFonts w:ascii="Times New Roman" w:hAnsi="Times New Roman" w:cs="Times New Roman"/>
          <w:b/>
          <w:bCs/>
          <w:sz w:val="24"/>
          <w:szCs w:val="24"/>
        </w:rPr>
      </w:pPr>
    </w:p>
    <w:p w14:paraId="1718F304" w14:textId="77777777" w:rsidR="00605EBD" w:rsidRPr="00AB076E"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b/>
          <w:bCs/>
          <w:sz w:val="24"/>
          <w:szCs w:val="24"/>
        </w:rPr>
        <w:t>Fig</w:t>
      </w:r>
      <w:r>
        <w:rPr>
          <w:rFonts w:ascii="Times New Roman" w:hAnsi="Times New Roman" w:cs="Times New Roman"/>
          <w:b/>
          <w:bCs/>
          <w:sz w:val="24"/>
          <w:szCs w:val="24"/>
        </w:rPr>
        <w:t>ure</w:t>
      </w:r>
      <w:r w:rsidRPr="009E1888">
        <w:rPr>
          <w:rFonts w:ascii="Times New Roman" w:hAnsi="Times New Roman" w:cs="Times New Roman"/>
          <w:b/>
          <w:bCs/>
          <w:sz w:val="24"/>
          <w:szCs w:val="24"/>
        </w:rPr>
        <w:t xml:space="preserve"> 4: </w:t>
      </w:r>
      <w:r w:rsidRPr="009E1888">
        <w:rPr>
          <w:rFonts w:ascii="Times New Roman" w:hAnsi="Times New Roman" w:cs="Times New Roman"/>
          <w:sz w:val="24"/>
          <w:szCs w:val="24"/>
        </w:rPr>
        <w:t>2D interaction of exhibiting the types of bonds that exist between the highest-scoring protein ligand docking.</w:t>
      </w:r>
      <w:r>
        <w:rPr>
          <w:rFonts w:ascii="Times New Roman" w:hAnsi="Times New Roman" w:cs="Times New Roman"/>
          <w:sz w:val="24"/>
          <w:szCs w:val="24"/>
        </w:rPr>
        <w:t xml:space="preserve"> </w:t>
      </w:r>
      <w:r w:rsidRPr="00AB076E">
        <w:rPr>
          <w:rFonts w:ascii="Times New Roman" w:hAnsi="Times New Roman" w:cs="Times New Roman"/>
          <w:sz w:val="24"/>
          <w:szCs w:val="24"/>
        </w:rPr>
        <w:t>A</w:t>
      </w:r>
      <w:r>
        <w:rPr>
          <w:rFonts w:ascii="Times New Roman" w:hAnsi="Times New Roman" w:cs="Times New Roman"/>
          <w:sz w:val="24"/>
          <w:szCs w:val="24"/>
        </w:rPr>
        <w:t>)</w:t>
      </w:r>
      <w:r w:rsidRPr="00AB076E">
        <w:rPr>
          <w:rFonts w:ascii="Times New Roman" w:hAnsi="Times New Roman" w:cs="Times New Roman"/>
          <w:sz w:val="24"/>
          <w:szCs w:val="24"/>
        </w:rPr>
        <w:t xml:space="preserve"> Ellagic acid</w:t>
      </w:r>
      <w:r>
        <w:rPr>
          <w:rFonts w:ascii="Times New Roman" w:hAnsi="Times New Roman" w:cs="Times New Roman"/>
          <w:sz w:val="24"/>
          <w:szCs w:val="24"/>
        </w:rPr>
        <w:t>-</w:t>
      </w:r>
      <w:r w:rsidRPr="00AB076E">
        <w:rPr>
          <w:rFonts w:ascii="Times New Roman" w:hAnsi="Times New Roman" w:cs="Times New Roman"/>
          <w:sz w:val="24"/>
          <w:szCs w:val="24"/>
        </w:rPr>
        <w:t>SRC, b</w:t>
      </w:r>
      <w:r>
        <w:rPr>
          <w:rFonts w:ascii="Times New Roman" w:hAnsi="Times New Roman" w:cs="Times New Roman"/>
          <w:sz w:val="24"/>
          <w:szCs w:val="24"/>
        </w:rPr>
        <w:t>)</w:t>
      </w:r>
      <w:r w:rsidRPr="00AB076E">
        <w:rPr>
          <w:rFonts w:ascii="Times New Roman" w:hAnsi="Times New Roman" w:cs="Times New Roman"/>
          <w:sz w:val="24"/>
          <w:szCs w:val="24"/>
        </w:rPr>
        <w:t xml:space="preserve"> Isoquercitrin</w:t>
      </w:r>
      <w:r>
        <w:rPr>
          <w:rFonts w:ascii="Times New Roman" w:hAnsi="Times New Roman" w:cs="Times New Roman"/>
          <w:sz w:val="24"/>
          <w:szCs w:val="24"/>
        </w:rPr>
        <w:t>-</w:t>
      </w:r>
      <w:r w:rsidRPr="00AB076E">
        <w:rPr>
          <w:rFonts w:ascii="Times New Roman" w:hAnsi="Times New Roman" w:cs="Times New Roman"/>
          <w:sz w:val="24"/>
          <w:szCs w:val="24"/>
        </w:rPr>
        <w:t>AKT1, c</w:t>
      </w:r>
      <w:r>
        <w:rPr>
          <w:rFonts w:ascii="Times New Roman" w:hAnsi="Times New Roman" w:cs="Times New Roman"/>
          <w:sz w:val="24"/>
          <w:szCs w:val="24"/>
        </w:rPr>
        <w:t xml:space="preserve">) </w:t>
      </w:r>
      <w:r w:rsidRPr="00AB076E">
        <w:rPr>
          <w:rFonts w:ascii="Times New Roman" w:hAnsi="Times New Roman" w:cs="Times New Roman"/>
          <w:sz w:val="24"/>
          <w:szCs w:val="24"/>
        </w:rPr>
        <w:t>Quercetin</w:t>
      </w:r>
      <w:r>
        <w:rPr>
          <w:rFonts w:ascii="Times New Roman" w:hAnsi="Times New Roman" w:cs="Times New Roman"/>
          <w:sz w:val="24"/>
          <w:szCs w:val="24"/>
        </w:rPr>
        <w:t>-</w:t>
      </w:r>
      <w:r w:rsidRPr="00AB076E">
        <w:rPr>
          <w:rFonts w:ascii="Times New Roman" w:hAnsi="Times New Roman" w:cs="Times New Roman"/>
          <w:sz w:val="24"/>
          <w:szCs w:val="24"/>
        </w:rPr>
        <w:t>EGFR, d) Rutin</w:t>
      </w:r>
      <w:r>
        <w:rPr>
          <w:rFonts w:ascii="Times New Roman" w:hAnsi="Times New Roman" w:cs="Times New Roman"/>
          <w:sz w:val="24"/>
          <w:szCs w:val="24"/>
        </w:rPr>
        <w:t>-</w:t>
      </w:r>
      <w:r w:rsidRPr="00AB076E">
        <w:rPr>
          <w:rFonts w:ascii="Times New Roman" w:hAnsi="Times New Roman" w:cs="Times New Roman"/>
          <w:sz w:val="24"/>
          <w:szCs w:val="24"/>
        </w:rPr>
        <w:t>ESR1, e</w:t>
      </w:r>
      <w:r>
        <w:rPr>
          <w:rFonts w:ascii="Times New Roman" w:hAnsi="Times New Roman" w:cs="Times New Roman"/>
          <w:sz w:val="24"/>
          <w:szCs w:val="24"/>
        </w:rPr>
        <w:t>)</w:t>
      </w:r>
      <w:r w:rsidRPr="00AB076E">
        <w:rPr>
          <w:rFonts w:ascii="Times New Roman" w:hAnsi="Times New Roman" w:cs="Times New Roman"/>
          <w:sz w:val="24"/>
          <w:szCs w:val="24"/>
        </w:rPr>
        <w:t xml:space="preserve"> Rutin</w:t>
      </w:r>
      <w:r>
        <w:rPr>
          <w:rFonts w:ascii="Times New Roman" w:hAnsi="Times New Roman" w:cs="Times New Roman"/>
          <w:sz w:val="24"/>
          <w:szCs w:val="24"/>
        </w:rPr>
        <w:t>-</w:t>
      </w:r>
      <w:r w:rsidRPr="00AB076E">
        <w:rPr>
          <w:rFonts w:ascii="Times New Roman" w:hAnsi="Times New Roman" w:cs="Times New Roman"/>
          <w:sz w:val="24"/>
          <w:szCs w:val="24"/>
        </w:rPr>
        <w:t>EGFR, f</w:t>
      </w:r>
      <w:r>
        <w:rPr>
          <w:rFonts w:ascii="Times New Roman" w:hAnsi="Times New Roman" w:cs="Times New Roman"/>
          <w:sz w:val="24"/>
          <w:szCs w:val="24"/>
        </w:rPr>
        <w:t>)</w:t>
      </w:r>
      <w:r w:rsidRPr="00AB076E">
        <w:rPr>
          <w:rFonts w:ascii="Times New Roman" w:hAnsi="Times New Roman" w:cs="Times New Roman"/>
          <w:sz w:val="24"/>
          <w:szCs w:val="24"/>
        </w:rPr>
        <w:t xml:space="preserve"> Rutin</w:t>
      </w:r>
      <w:r>
        <w:rPr>
          <w:rFonts w:ascii="Times New Roman" w:hAnsi="Times New Roman" w:cs="Times New Roman"/>
          <w:sz w:val="24"/>
          <w:szCs w:val="24"/>
        </w:rPr>
        <w:t>-</w:t>
      </w:r>
      <w:r w:rsidRPr="00AB076E">
        <w:rPr>
          <w:rFonts w:ascii="Times New Roman" w:hAnsi="Times New Roman" w:cs="Times New Roman"/>
          <w:sz w:val="24"/>
          <w:szCs w:val="24"/>
        </w:rPr>
        <w:t>SRC, g</w:t>
      </w:r>
      <w:r>
        <w:rPr>
          <w:rFonts w:ascii="Times New Roman" w:hAnsi="Times New Roman" w:cs="Times New Roman"/>
          <w:sz w:val="24"/>
          <w:szCs w:val="24"/>
        </w:rPr>
        <w:t xml:space="preserve">) </w:t>
      </w:r>
      <w:r w:rsidRPr="00AB076E">
        <w:rPr>
          <w:rFonts w:ascii="Times New Roman" w:hAnsi="Times New Roman" w:cs="Times New Roman"/>
          <w:sz w:val="24"/>
          <w:szCs w:val="24"/>
        </w:rPr>
        <w:t>Rutin</w:t>
      </w:r>
      <w:r>
        <w:rPr>
          <w:rFonts w:ascii="Times New Roman" w:hAnsi="Times New Roman" w:cs="Times New Roman"/>
          <w:sz w:val="24"/>
          <w:szCs w:val="24"/>
        </w:rPr>
        <w:t>-</w:t>
      </w:r>
      <w:r w:rsidRPr="00AB076E">
        <w:rPr>
          <w:rFonts w:ascii="Times New Roman" w:hAnsi="Times New Roman" w:cs="Times New Roman"/>
          <w:sz w:val="24"/>
          <w:szCs w:val="24"/>
        </w:rPr>
        <w:t>TP53.</w:t>
      </w:r>
    </w:p>
    <w:p w14:paraId="332F94D4" w14:textId="77777777" w:rsidR="00605EBD" w:rsidRPr="009E1888" w:rsidRDefault="00605EBD" w:rsidP="00605EBD">
      <w:pPr>
        <w:spacing w:after="0" w:line="240" w:lineRule="auto"/>
        <w:jc w:val="both"/>
        <w:rPr>
          <w:rFonts w:ascii="Times New Roman" w:hAnsi="Times New Roman" w:cs="Times New Roman"/>
          <w:sz w:val="24"/>
          <w:szCs w:val="24"/>
        </w:rPr>
      </w:pPr>
    </w:p>
    <w:p w14:paraId="436D6195" w14:textId="77777777" w:rsidR="00605EBD" w:rsidRPr="009E1888" w:rsidRDefault="00605EBD" w:rsidP="00605EBD">
      <w:pPr>
        <w:spacing w:after="0" w:line="240" w:lineRule="auto"/>
        <w:jc w:val="both"/>
        <w:rPr>
          <w:rFonts w:ascii="Times New Roman" w:hAnsi="Times New Roman" w:cs="Times New Roman"/>
          <w:sz w:val="24"/>
          <w:szCs w:val="24"/>
        </w:rPr>
      </w:pPr>
      <w:r w:rsidRPr="00FE4AC4">
        <w:rPr>
          <w:rFonts w:ascii="Times New Roman" w:hAnsi="Times New Roman" w:cs="Times New Roman"/>
          <w:b/>
          <w:bCs/>
          <w:sz w:val="24"/>
          <w:szCs w:val="24"/>
        </w:rPr>
        <w:t>Table 1</w:t>
      </w:r>
      <w:r w:rsidRPr="009E1888">
        <w:rPr>
          <w:rFonts w:ascii="Times New Roman" w:hAnsi="Times New Roman" w:cs="Times New Roman"/>
          <w:sz w:val="24"/>
          <w:szCs w:val="24"/>
        </w:rPr>
        <w:t>: Binding Energy and Natural Compund’s Interacting Residues with Parkison’s Disease related Proteins</w:t>
      </w:r>
    </w:p>
    <w:tbl>
      <w:tblPr>
        <w:tblW w:w="10164" w:type="dxa"/>
        <w:tblLook w:val="04A0" w:firstRow="1" w:lastRow="0" w:firstColumn="1" w:lastColumn="0" w:noHBand="0" w:noVBand="1"/>
      </w:tblPr>
      <w:tblGrid>
        <w:gridCol w:w="2109"/>
        <w:gridCol w:w="1314"/>
        <w:gridCol w:w="1772"/>
        <w:gridCol w:w="4969"/>
      </w:tblGrid>
      <w:tr w:rsidR="00605EBD" w:rsidRPr="009E1888" w14:paraId="1B48DC58" w14:textId="77777777" w:rsidTr="00697CA9">
        <w:trPr>
          <w:trHeight w:val="288"/>
        </w:trPr>
        <w:tc>
          <w:tcPr>
            <w:tcW w:w="2109" w:type="dxa"/>
            <w:noWrap/>
            <w:vAlign w:val="center"/>
            <w:hideMark/>
          </w:tcPr>
          <w:p w14:paraId="56455F6E"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Ligand</w:t>
            </w:r>
          </w:p>
        </w:tc>
        <w:tc>
          <w:tcPr>
            <w:tcW w:w="1314" w:type="dxa"/>
            <w:noWrap/>
            <w:vAlign w:val="center"/>
            <w:hideMark/>
          </w:tcPr>
          <w:p w14:paraId="3E6AD1AF"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Binding Protein</w:t>
            </w:r>
          </w:p>
        </w:tc>
        <w:tc>
          <w:tcPr>
            <w:tcW w:w="1772" w:type="dxa"/>
            <w:noWrap/>
            <w:vAlign w:val="center"/>
            <w:hideMark/>
          </w:tcPr>
          <w:p w14:paraId="22FAEE6F"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Binding Energy (Kcal/mol)</w:t>
            </w:r>
          </w:p>
        </w:tc>
        <w:tc>
          <w:tcPr>
            <w:tcW w:w="4969" w:type="dxa"/>
            <w:noWrap/>
            <w:vAlign w:val="center"/>
            <w:hideMark/>
          </w:tcPr>
          <w:p w14:paraId="0F99D33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Residue Interactions</w:t>
            </w:r>
          </w:p>
        </w:tc>
      </w:tr>
      <w:tr w:rsidR="00605EBD" w:rsidRPr="009E1888" w14:paraId="7DF5CE8E" w14:textId="77777777" w:rsidTr="00697CA9">
        <w:trPr>
          <w:trHeight w:val="279"/>
        </w:trPr>
        <w:tc>
          <w:tcPr>
            <w:tcW w:w="2109" w:type="dxa"/>
            <w:vMerge w:val="restart"/>
            <w:noWrap/>
            <w:vAlign w:val="center"/>
            <w:hideMark/>
          </w:tcPr>
          <w:p w14:paraId="5539DD01"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Caffeic Acid</w:t>
            </w:r>
          </w:p>
        </w:tc>
        <w:tc>
          <w:tcPr>
            <w:tcW w:w="1314" w:type="dxa"/>
            <w:noWrap/>
            <w:vAlign w:val="center"/>
            <w:hideMark/>
          </w:tcPr>
          <w:p w14:paraId="27E062AE"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EGFR</w:t>
            </w:r>
          </w:p>
        </w:tc>
        <w:tc>
          <w:tcPr>
            <w:tcW w:w="1772" w:type="dxa"/>
            <w:noWrap/>
            <w:vAlign w:val="center"/>
            <w:hideMark/>
          </w:tcPr>
          <w:p w14:paraId="6636759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-6.2</w:t>
            </w:r>
          </w:p>
        </w:tc>
        <w:tc>
          <w:tcPr>
            <w:tcW w:w="4969" w:type="dxa"/>
            <w:noWrap/>
            <w:vAlign w:val="center"/>
            <w:hideMark/>
          </w:tcPr>
          <w:p w14:paraId="524A0D8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lang w:val="de-DE"/>
              </w:rPr>
              <w:t>Leu777, Arg776, Arg705, Leu703, Leu688</w:t>
            </w:r>
          </w:p>
        </w:tc>
      </w:tr>
      <w:tr w:rsidR="00605EBD" w:rsidRPr="009E1888" w14:paraId="5D9E3197" w14:textId="77777777" w:rsidTr="00697CA9">
        <w:trPr>
          <w:trHeight w:val="279"/>
        </w:trPr>
        <w:tc>
          <w:tcPr>
            <w:tcW w:w="2109" w:type="dxa"/>
            <w:vMerge/>
            <w:noWrap/>
            <w:vAlign w:val="center"/>
            <w:hideMark/>
          </w:tcPr>
          <w:p w14:paraId="5A02079C"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1AEAC66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ESR1</w:t>
            </w:r>
          </w:p>
        </w:tc>
        <w:tc>
          <w:tcPr>
            <w:tcW w:w="1772" w:type="dxa"/>
            <w:noWrap/>
            <w:vAlign w:val="center"/>
            <w:hideMark/>
          </w:tcPr>
          <w:p w14:paraId="3BCA82B6"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-5.4</w:t>
            </w:r>
          </w:p>
        </w:tc>
        <w:tc>
          <w:tcPr>
            <w:tcW w:w="4969" w:type="dxa"/>
            <w:noWrap/>
            <w:vAlign w:val="center"/>
            <w:hideMark/>
          </w:tcPr>
          <w:p w14:paraId="63054E6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His550, Ser518, Cys381</w:t>
            </w:r>
          </w:p>
        </w:tc>
      </w:tr>
      <w:tr w:rsidR="00605EBD" w:rsidRPr="009E1888" w14:paraId="1E3D4963" w14:textId="77777777" w:rsidTr="00697CA9">
        <w:trPr>
          <w:trHeight w:val="279"/>
        </w:trPr>
        <w:tc>
          <w:tcPr>
            <w:tcW w:w="2109" w:type="dxa"/>
            <w:vMerge w:val="restart"/>
            <w:noWrap/>
            <w:vAlign w:val="center"/>
            <w:hideMark/>
          </w:tcPr>
          <w:p w14:paraId="18E15C14"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Chlorogenic Acid</w:t>
            </w:r>
          </w:p>
        </w:tc>
        <w:tc>
          <w:tcPr>
            <w:tcW w:w="1314" w:type="dxa"/>
            <w:noWrap/>
            <w:vAlign w:val="center"/>
            <w:hideMark/>
          </w:tcPr>
          <w:p w14:paraId="1896262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CASP3</w:t>
            </w:r>
          </w:p>
        </w:tc>
        <w:tc>
          <w:tcPr>
            <w:tcW w:w="1772" w:type="dxa"/>
            <w:noWrap/>
            <w:vAlign w:val="center"/>
            <w:hideMark/>
          </w:tcPr>
          <w:p w14:paraId="5342C3E4"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-5.4</w:t>
            </w:r>
          </w:p>
        </w:tc>
        <w:tc>
          <w:tcPr>
            <w:tcW w:w="4969" w:type="dxa"/>
            <w:noWrap/>
            <w:vAlign w:val="center"/>
            <w:hideMark/>
          </w:tcPr>
          <w:p w14:paraId="4361E93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Cys184, Val266, Asn240, Ile265</w:t>
            </w:r>
          </w:p>
        </w:tc>
      </w:tr>
      <w:tr w:rsidR="00605EBD" w:rsidRPr="009E1888" w14:paraId="2C5F5366" w14:textId="77777777" w:rsidTr="00697CA9">
        <w:trPr>
          <w:trHeight w:val="279"/>
        </w:trPr>
        <w:tc>
          <w:tcPr>
            <w:tcW w:w="2109" w:type="dxa"/>
            <w:vMerge/>
            <w:noWrap/>
            <w:vAlign w:val="center"/>
            <w:hideMark/>
          </w:tcPr>
          <w:p w14:paraId="30352359"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0199D2A5"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MAPK8</w:t>
            </w:r>
          </w:p>
        </w:tc>
        <w:tc>
          <w:tcPr>
            <w:tcW w:w="1772" w:type="dxa"/>
            <w:noWrap/>
            <w:vAlign w:val="center"/>
            <w:hideMark/>
          </w:tcPr>
          <w:p w14:paraId="0532B818"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-7.5</w:t>
            </w:r>
          </w:p>
        </w:tc>
        <w:tc>
          <w:tcPr>
            <w:tcW w:w="4969" w:type="dxa"/>
            <w:noWrap/>
            <w:vAlign w:val="center"/>
            <w:hideMark/>
          </w:tcPr>
          <w:p w14:paraId="05CD3462"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Leu61, Ser99, Cys98, Tyr160, Ala102, Ala65, Ile156</w:t>
            </w:r>
          </w:p>
        </w:tc>
      </w:tr>
      <w:tr w:rsidR="00605EBD" w:rsidRPr="009E1888" w14:paraId="66BFD175" w14:textId="77777777" w:rsidTr="00697CA9">
        <w:trPr>
          <w:trHeight w:val="279"/>
        </w:trPr>
        <w:tc>
          <w:tcPr>
            <w:tcW w:w="2109" w:type="dxa"/>
            <w:vMerge/>
            <w:noWrap/>
            <w:vAlign w:val="center"/>
            <w:hideMark/>
          </w:tcPr>
          <w:p w14:paraId="600F48AB"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4563C3F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SRC</w:t>
            </w:r>
          </w:p>
        </w:tc>
        <w:tc>
          <w:tcPr>
            <w:tcW w:w="1772" w:type="dxa"/>
            <w:noWrap/>
            <w:vAlign w:val="center"/>
            <w:hideMark/>
          </w:tcPr>
          <w:p w14:paraId="1F623154"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-7.5</w:t>
            </w:r>
          </w:p>
        </w:tc>
        <w:tc>
          <w:tcPr>
            <w:tcW w:w="4969" w:type="dxa"/>
            <w:noWrap/>
            <w:vAlign w:val="center"/>
            <w:hideMark/>
          </w:tcPr>
          <w:p w14:paraId="150B1F63"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Gln254, Lys252, Lys324, Glu323, Glu342, Lys404, Gln327, Leu325, Arg321, His322</w:t>
            </w:r>
          </w:p>
        </w:tc>
      </w:tr>
      <w:tr w:rsidR="00605EBD" w:rsidRPr="009E1888" w14:paraId="6FA0B859" w14:textId="77777777" w:rsidTr="00697CA9">
        <w:trPr>
          <w:trHeight w:val="279"/>
        </w:trPr>
        <w:tc>
          <w:tcPr>
            <w:tcW w:w="2109" w:type="dxa"/>
            <w:vMerge w:val="restart"/>
            <w:noWrap/>
            <w:vAlign w:val="center"/>
            <w:hideMark/>
          </w:tcPr>
          <w:p w14:paraId="67D3740E"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Ellagic Acid</w:t>
            </w:r>
          </w:p>
        </w:tc>
        <w:tc>
          <w:tcPr>
            <w:tcW w:w="1314" w:type="dxa"/>
            <w:noWrap/>
            <w:vAlign w:val="center"/>
            <w:hideMark/>
          </w:tcPr>
          <w:p w14:paraId="36183546"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EGFR</w:t>
            </w:r>
          </w:p>
        </w:tc>
        <w:tc>
          <w:tcPr>
            <w:tcW w:w="1772" w:type="dxa"/>
            <w:noWrap/>
            <w:vAlign w:val="center"/>
            <w:hideMark/>
          </w:tcPr>
          <w:p w14:paraId="59C07F64"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-7.5</w:t>
            </w:r>
          </w:p>
        </w:tc>
        <w:tc>
          <w:tcPr>
            <w:tcW w:w="4969" w:type="dxa"/>
            <w:noWrap/>
            <w:vAlign w:val="center"/>
            <w:hideMark/>
          </w:tcPr>
          <w:p w14:paraId="48E40BAD"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Ile706, Arg705, Leu688, Glu685</w:t>
            </w:r>
          </w:p>
        </w:tc>
      </w:tr>
      <w:tr w:rsidR="00605EBD" w:rsidRPr="009E1888" w14:paraId="7CEB7355" w14:textId="77777777" w:rsidTr="00697CA9">
        <w:trPr>
          <w:trHeight w:val="279"/>
        </w:trPr>
        <w:tc>
          <w:tcPr>
            <w:tcW w:w="2109" w:type="dxa"/>
            <w:vMerge/>
            <w:noWrap/>
            <w:vAlign w:val="center"/>
            <w:hideMark/>
          </w:tcPr>
          <w:p w14:paraId="03CD19A2"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6E5D1385"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ESR1</w:t>
            </w:r>
          </w:p>
        </w:tc>
        <w:tc>
          <w:tcPr>
            <w:tcW w:w="1772" w:type="dxa"/>
            <w:noWrap/>
            <w:vAlign w:val="center"/>
            <w:hideMark/>
          </w:tcPr>
          <w:p w14:paraId="03C2D3F3"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-7.6</w:t>
            </w:r>
          </w:p>
        </w:tc>
        <w:tc>
          <w:tcPr>
            <w:tcW w:w="4969" w:type="dxa"/>
            <w:noWrap/>
            <w:vAlign w:val="center"/>
            <w:hideMark/>
          </w:tcPr>
          <w:p w14:paraId="6449C3D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Cys391, His547, Ser463</w:t>
            </w:r>
          </w:p>
        </w:tc>
      </w:tr>
      <w:tr w:rsidR="00605EBD" w:rsidRPr="009E1888" w14:paraId="17C5A748" w14:textId="77777777" w:rsidTr="00697CA9">
        <w:trPr>
          <w:trHeight w:val="279"/>
        </w:trPr>
        <w:tc>
          <w:tcPr>
            <w:tcW w:w="2109" w:type="dxa"/>
            <w:vMerge/>
            <w:noWrap/>
            <w:vAlign w:val="center"/>
            <w:hideMark/>
          </w:tcPr>
          <w:p w14:paraId="6FB48EB8"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7CD41902"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SRC</w:t>
            </w:r>
          </w:p>
        </w:tc>
        <w:tc>
          <w:tcPr>
            <w:tcW w:w="1772" w:type="dxa"/>
            <w:noWrap/>
            <w:vAlign w:val="center"/>
            <w:hideMark/>
          </w:tcPr>
          <w:p w14:paraId="6FD05EC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-8.7</w:t>
            </w:r>
          </w:p>
        </w:tc>
        <w:tc>
          <w:tcPr>
            <w:tcW w:w="4969" w:type="dxa"/>
            <w:noWrap/>
            <w:vAlign w:val="center"/>
            <w:hideMark/>
          </w:tcPr>
          <w:p w14:paraId="27D0FEA4"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Ser348, Leu396, Met344, Leu276, Ala296, Val284</w:t>
            </w:r>
          </w:p>
        </w:tc>
      </w:tr>
      <w:tr w:rsidR="00605EBD" w:rsidRPr="009E1888" w14:paraId="5C294C38" w14:textId="77777777" w:rsidTr="00697CA9">
        <w:trPr>
          <w:trHeight w:val="279"/>
        </w:trPr>
        <w:tc>
          <w:tcPr>
            <w:tcW w:w="2109" w:type="dxa"/>
            <w:noWrap/>
            <w:vAlign w:val="center"/>
            <w:hideMark/>
          </w:tcPr>
          <w:p w14:paraId="14AF367F"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Epigallocatechin</w:t>
            </w:r>
          </w:p>
        </w:tc>
        <w:tc>
          <w:tcPr>
            <w:tcW w:w="1314" w:type="dxa"/>
            <w:noWrap/>
            <w:vAlign w:val="center"/>
            <w:hideMark/>
          </w:tcPr>
          <w:p w14:paraId="20CA689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TNF</w:t>
            </w:r>
          </w:p>
        </w:tc>
        <w:tc>
          <w:tcPr>
            <w:tcW w:w="1772" w:type="dxa"/>
            <w:noWrap/>
            <w:vAlign w:val="center"/>
            <w:hideMark/>
          </w:tcPr>
          <w:p w14:paraId="101B93D8"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-5.9</w:t>
            </w:r>
          </w:p>
        </w:tc>
        <w:tc>
          <w:tcPr>
            <w:tcW w:w="4969" w:type="dxa"/>
            <w:noWrap/>
            <w:vAlign w:val="center"/>
            <w:hideMark/>
          </w:tcPr>
          <w:p w14:paraId="0D038C48"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lang w:val="de-DE"/>
              </w:rPr>
              <w:t>Gln91, Lys55, Asn172, Leu169, Pro57</w:t>
            </w:r>
          </w:p>
        </w:tc>
      </w:tr>
      <w:tr w:rsidR="00605EBD" w:rsidRPr="009E1888" w14:paraId="7C121FBA" w14:textId="77777777" w:rsidTr="00697CA9">
        <w:trPr>
          <w:trHeight w:val="279"/>
        </w:trPr>
        <w:tc>
          <w:tcPr>
            <w:tcW w:w="2109" w:type="dxa"/>
            <w:vMerge w:val="restart"/>
            <w:noWrap/>
            <w:vAlign w:val="center"/>
            <w:hideMark/>
          </w:tcPr>
          <w:p w14:paraId="375DE4AC"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Isoquercitrin</w:t>
            </w:r>
          </w:p>
        </w:tc>
        <w:tc>
          <w:tcPr>
            <w:tcW w:w="1314" w:type="dxa"/>
            <w:noWrap/>
            <w:vAlign w:val="center"/>
            <w:hideMark/>
          </w:tcPr>
          <w:p w14:paraId="281A7CA4"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AKT1</w:t>
            </w:r>
          </w:p>
        </w:tc>
        <w:tc>
          <w:tcPr>
            <w:tcW w:w="1772" w:type="dxa"/>
            <w:noWrap/>
            <w:vAlign w:val="center"/>
            <w:hideMark/>
          </w:tcPr>
          <w:p w14:paraId="1B2C777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-10.7</w:t>
            </w:r>
          </w:p>
        </w:tc>
        <w:tc>
          <w:tcPr>
            <w:tcW w:w="4969" w:type="dxa"/>
            <w:noWrap/>
            <w:vAlign w:val="center"/>
            <w:hideMark/>
          </w:tcPr>
          <w:p w14:paraId="13F012E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Ile290, Leu210, Leu264, Val270, Trp80, Lys268, Asn54, Val271, Thr82, Asp292, Thr211,</w:t>
            </w:r>
          </w:p>
        </w:tc>
      </w:tr>
      <w:tr w:rsidR="00605EBD" w:rsidRPr="009E1888" w14:paraId="0D94F855" w14:textId="77777777" w:rsidTr="00697CA9">
        <w:trPr>
          <w:trHeight w:val="279"/>
        </w:trPr>
        <w:tc>
          <w:tcPr>
            <w:tcW w:w="2109" w:type="dxa"/>
            <w:vMerge/>
            <w:noWrap/>
            <w:vAlign w:val="center"/>
            <w:hideMark/>
          </w:tcPr>
          <w:p w14:paraId="5E580D6B"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73079C9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TNF</w:t>
            </w:r>
          </w:p>
        </w:tc>
        <w:tc>
          <w:tcPr>
            <w:tcW w:w="1772" w:type="dxa"/>
            <w:noWrap/>
            <w:vAlign w:val="center"/>
            <w:hideMark/>
          </w:tcPr>
          <w:p w14:paraId="060FE53E"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-5.6</w:t>
            </w:r>
          </w:p>
        </w:tc>
        <w:tc>
          <w:tcPr>
            <w:tcW w:w="4969" w:type="dxa"/>
            <w:noWrap/>
            <w:vAlign w:val="center"/>
            <w:hideMark/>
          </w:tcPr>
          <w:p w14:paraId="2ADA239D"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Ala54, Leu169, Lys55</w:t>
            </w:r>
          </w:p>
        </w:tc>
      </w:tr>
      <w:tr w:rsidR="00605EBD" w:rsidRPr="009E1888" w14:paraId="77FF87C4" w14:textId="77777777" w:rsidTr="00697CA9">
        <w:trPr>
          <w:trHeight w:val="279"/>
        </w:trPr>
        <w:tc>
          <w:tcPr>
            <w:tcW w:w="2109" w:type="dxa"/>
            <w:vMerge w:val="restart"/>
            <w:noWrap/>
            <w:vAlign w:val="center"/>
            <w:hideMark/>
          </w:tcPr>
          <w:p w14:paraId="2707947F"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Kaempferol</w:t>
            </w:r>
          </w:p>
        </w:tc>
        <w:tc>
          <w:tcPr>
            <w:tcW w:w="1314" w:type="dxa"/>
            <w:noWrap/>
            <w:vAlign w:val="center"/>
            <w:hideMark/>
          </w:tcPr>
          <w:p w14:paraId="68D887C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EGFR</w:t>
            </w:r>
          </w:p>
        </w:tc>
        <w:tc>
          <w:tcPr>
            <w:tcW w:w="1772" w:type="dxa"/>
            <w:noWrap/>
            <w:vAlign w:val="center"/>
            <w:hideMark/>
          </w:tcPr>
          <w:p w14:paraId="55DDCD9C"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-6.5</w:t>
            </w:r>
          </w:p>
        </w:tc>
        <w:tc>
          <w:tcPr>
            <w:tcW w:w="4969" w:type="dxa"/>
            <w:noWrap/>
            <w:vAlign w:val="center"/>
            <w:hideMark/>
          </w:tcPr>
          <w:p w14:paraId="3925BE3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Asn1169, Asp1168, Ser1166, Gly312, Ala313,</w:t>
            </w:r>
          </w:p>
        </w:tc>
      </w:tr>
      <w:tr w:rsidR="00605EBD" w:rsidRPr="009E1888" w14:paraId="4A025620" w14:textId="77777777" w:rsidTr="00697CA9">
        <w:trPr>
          <w:trHeight w:val="279"/>
        </w:trPr>
        <w:tc>
          <w:tcPr>
            <w:tcW w:w="2109" w:type="dxa"/>
            <w:vMerge/>
            <w:noWrap/>
            <w:vAlign w:val="center"/>
            <w:hideMark/>
          </w:tcPr>
          <w:p w14:paraId="21085C19"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58C1E22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ESR1</w:t>
            </w:r>
          </w:p>
        </w:tc>
        <w:tc>
          <w:tcPr>
            <w:tcW w:w="1772" w:type="dxa"/>
            <w:noWrap/>
            <w:vAlign w:val="center"/>
            <w:hideMark/>
          </w:tcPr>
          <w:p w14:paraId="210DDF6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-7.3</w:t>
            </w:r>
          </w:p>
        </w:tc>
        <w:tc>
          <w:tcPr>
            <w:tcW w:w="4969" w:type="dxa"/>
            <w:noWrap/>
            <w:vAlign w:val="center"/>
            <w:hideMark/>
          </w:tcPr>
          <w:p w14:paraId="2C40B8E8"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Ser456, Arg515, Met522, His547, Ala551, Glu523</w:t>
            </w:r>
          </w:p>
        </w:tc>
      </w:tr>
      <w:tr w:rsidR="00605EBD" w:rsidRPr="009E1888" w14:paraId="15E27AA8" w14:textId="77777777" w:rsidTr="00697CA9">
        <w:trPr>
          <w:trHeight w:val="279"/>
        </w:trPr>
        <w:tc>
          <w:tcPr>
            <w:tcW w:w="2109" w:type="dxa"/>
            <w:vMerge/>
            <w:noWrap/>
            <w:vAlign w:val="center"/>
            <w:hideMark/>
          </w:tcPr>
          <w:p w14:paraId="56AEEC28"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0FA68EE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SRC</w:t>
            </w:r>
          </w:p>
        </w:tc>
        <w:tc>
          <w:tcPr>
            <w:tcW w:w="1772" w:type="dxa"/>
            <w:noWrap/>
            <w:vAlign w:val="center"/>
            <w:hideMark/>
          </w:tcPr>
          <w:p w14:paraId="03C4FBA1"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-6.8</w:t>
            </w:r>
          </w:p>
        </w:tc>
        <w:tc>
          <w:tcPr>
            <w:tcW w:w="4969" w:type="dxa"/>
            <w:noWrap/>
            <w:vAlign w:val="center"/>
            <w:hideMark/>
          </w:tcPr>
          <w:p w14:paraId="36F5FC72"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Gln256, Gln254, His322, Leu325, Lys324, Val 402</w:t>
            </w:r>
          </w:p>
        </w:tc>
      </w:tr>
      <w:tr w:rsidR="00605EBD" w:rsidRPr="009E1888" w14:paraId="7687CBEE" w14:textId="77777777" w:rsidTr="00697CA9">
        <w:trPr>
          <w:trHeight w:val="279"/>
        </w:trPr>
        <w:tc>
          <w:tcPr>
            <w:tcW w:w="2109" w:type="dxa"/>
            <w:vMerge w:val="restart"/>
            <w:noWrap/>
            <w:vAlign w:val="center"/>
            <w:hideMark/>
          </w:tcPr>
          <w:p w14:paraId="2C883F52"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Quercetin</w:t>
            </w:r>
          </w:p>
        </w:tc>
        <w:tc>
          <w:tcPr>
            <w:tcW w:w="1314" w:type="dxa"/>
            <w:noWrap/>
            <w:vAlign w:val="center"/>
            <w:hideMark/>
          </w:tcPr>
          <w:p w14:paraId="01F200C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SRC</w:t>
            </w:r>
          </w:p>
        </w:tc>
        <w:tc>
          <w:tcPr>
            <w:tcW w:w="1772" w:type="dxa"/>
            <w:noWrap/>
            <w:vAlign w:val="center"/>
            <w:hideMark/>
          </w:tcPr>
          <w:p w14:paraId="3C14EA40"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-7.3</w:t>
            </w:r>
          </w:p>
        </w:tc>
        <w:tc>
          <w:tcPr>
            <w:tcW w:w="4969" w:type="dxa"/>
            <w:noWrap/>
            <w:vAlign w:val="center"/>
            <w:hideMark/>
          </w:tcPr>
          <w:p w14:paraId="096B5AD1"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Asp407</w:t>
            </w:r>
          </w:p>
        </w:tc>
      </w:tr>
      <w:tr w:rsidR="00605EBD" w:rsidRPr="009E1888" w14:paraId="102BBF78" w14:textId="77777777" w:rsidTr="00697CA9">
        <w:trPr>
          <w:trHeight w:val="279"/>
        </w:trPr>
        <w:tc>
          <w:tcPr>
            <w:tcW w:w="2109" w:type="dxa"/>
            <w:vMerge/>
            <w:noWrap/>
            <w:vAlign w:val="center"/>
            <w:hideMark/>
          </w:tcPr>
          <w:p w14:paraId="52A758A7"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7900EDC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EGFR</w:t>
            </w:r>
          </w:p>
        </w:tc>
        <w:tc>
          <w:tcPr>
            <w:tcW w:w="1772" w:type="dxa"/>
            <w:noWrap/>
            <w:vAlign w:val="center"/>
            <w:hideMark/>
          </w:tcPr>
          <w:p w14:paraId="33AF202C"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-8.3</w:t>
            </w:r>
          </w:p>
        </w:tc>
        <w:tc>
          <w:tcPr>
            <w:tcW w:w="4969" w:type="dxa"/>
            <w:noWrap/>
            <w:vAlign w:val="center"/>
            <w:hideMark/>
          </w:tcPr>
          <w:p w14:paraId="6071FE0A"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Leu703, Arg686, Leu1017, Leu776</w:t>
            </w:r>
          </w:p>
        </w:tc>
      </w:tr>
      <w:tr w:rsidR="00605EBD" w:rsidRPr="009E1888" w14:paraId="3EAB0D13" w14:textId="77777777" w:rsidTr="00697CA9">
        <w:trPr>
          <w:trHeight w:val="279"/>
        </w:trPr>
        <w:tc>
          <w:tcPr>
            <w:tcW w:w="2109" w:type="dxa"/>
            <w:vMerge w:val="restart"/>
            <w:noWrap/>
            <w:vAlign w:val="center"/>
            <w:hideMark/>
          </w:tcPr>
          <w:p w14:paraId="795D1F6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Rutin</w:t>
            </w:r>
          </w:p>
        </w:tc>
        <w:tc>
          <w:tcPr>
            <w:tcW w:w="1314" w:type="dxa"/>
            <w:noWrap/>
            <w:vAlign w:val="center"/>
            <w:hideMark/>
          </w:tcPr>
          <w:p w14:paraId="048AB732"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ESR1</w:t>
            </w:r>
          </w:p>
        </w:tc>
        <w:tc>
          <w:tcPr>
            <w:tcW w:w="1772" w:type="dxa"/>
            <w:noWrap/>
            <w:vAlign w:val="center"/>
            <w:hideMark/>
          </w:tcPr>
          <w:p w14:paraId="58A2A78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-8.2</w:t>
            </w:r>
          </w:p>
        </w:tc>
        <w:tc>
          <w:tcPr>
            <w:tcW w:w="4969" w:type="dxa"/>
            <w:noWrap/>
            <w:vAlign w:val="center"/>
            <w:hideMark/>
          </w:tcPr>
          <w:p w14:paraId="73026A0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Ser512, Arg515, Glu385, Asn455, Ser456, Cys381, His547</w:t>
            </w:r>
          </w:p>
        </w:tc>
      </w:tr>
      <w:tr w:rsidR="00605EBD" w:rsidRPr="009E1888" w14:paraId="7F08BB53" w14:textId="77777777" w:rsidTr="00697CA9">
        <w:trPr>
          <w:trHeight w:val="279"/>
        </w:trPr>
        <w:tc>
          <w:tcPr>
            <w:tcW w:w="2109" w:type="dxa"/>
            <w:vMerge/>
            <w:noWrap/>
            <w:vAlign w:val="center"/>
            <w:hideMark/>
          </w:tcPr>
          <w:p w14:paraId="43216D17"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7462E75D"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EGFR</w:t>
            </w:r>
          </w:p>
        </w:tc>
        <w:tc>
          <w:tcPr>
            <w:tcW w:w="1772" w:type="dxa"/>
            <w:noWrap/>
            <w:vAlign w:val="center"/>
            <w:hideMark/>
          </w:tcPr>
          <w:p w14:paraId="1152DD1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-8.7</w:t>
            </w:r>
          </w:p>
        </w:tc>
        <w:tc>
          <w:tcPr>
            <w:tcW w:w="4969" w:type="dxa"/>
            <w:noWrap/>
            <w:vAlign w:val="center"/>
            <w:hideMark/>
          </w:tcPr>
          <w:p w14:paraId="32F86A0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lang w:val="de-DE"/>
              </w:rPr>
              <w:t>Arg297, Arg705, Asn298, Arg324, Leu703, Pro296, Cys295</w:t>
            </w:r>
          </w:p>
        </w:tc>
      </w:tr>
      <w:tr w:rsidR="00605EBD" w:rsidRPr="009E1888" w14:paraId="0EE8315E" w14:textId="77777777" w:rsidTr="00697CA9">
        <w:trPr>
          <w:trHeight w:val="279"/>
        </w:trPr>
        <w:tc>
          <w:tcPr>
            <w:tcW w:w="2109" w:type="dxa"/>
            <w:vMerge/>
            <w:noWrap/>
            <w:vAlign w:val="center"/>
            <w:hideMark/>
          </w:tcPr>
          <w:p w14:paraId="0D075A1D"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6E18C0D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SRC</w:t>
            </w:r>
          </w:p>
        </w:tc>
        <w:tc>
          <w:tcPr>
            <w:tcW w:w="1772" w:type="dxa"/>
            <w:noWrap/>
            <w:vAlign w:val="center"/>
            <w:hideMark/>
          </w:tcPr>
          <w:p w14:paraId="46AB85D9"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-8.9</w:t>
            </w:r>
          </w:p>
        </w:tc>
        <w:tc>
          <w:tcPr>
            <w:tcW w:w="4969" w:type="dxa"/>
            <w:noWrap/>
            <w:vAlign w:val="center"/>
            <w:hideMark/>
          </w:tcPr>
          <w:p w14:paraId="3D3AAC13"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lang w:val="de-DE"/>
              </w:rPr>
              <w:t>Gln256, Gln327, Gln254, Pro253, Thr250</w:t>
            </w:r>
          </w:p>
        </w:tc>
      </w:tr>
      <w:tr w:rsidR="00605EBD" w:rsidRPr="009E1888" w14:paraId="15C1E8A2" w14:textId="77777777" w:rsidTr="00697CA9">
        <w:trPr>
          <w:trHeight w:val="279"/>
        </w:trPr>
        <w:tc>
          <w:tcPr>
            <w:tcW w:w="2109" w:type="dxa"/>
            <w:vMerge/>
            <w:noWrap/>
            <w:vAlign w:val="center"/>
            <w:hideMark/>
          </w:tcPr>
          <w:p w14:paraId="7CBA9C2A"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1E06003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TNF</w:t>
            </w:r>
          </w:p>
        </w:tc>
        <w:tc>
          <w:tcPr>
            <w:tcW w:w="1772" w:type="dxa"/>
            <w:noWrap/>
            <w:vAlign w:val="center"/>
            <w:hideMark/>
          </w:tcPr>
          <w:p w14:paraId="67438C68"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-6.1</w:t>
            </w:r>
          </w:p>
        </w:tc>
        <w:tc>
          <w:tcPr>
            <w:tcW w:w="4969" w:type="dxa"/>
            <w:noWrap/>
            <w:vAlign w:val="center"/>
            <w:hideMark/>
          </w:tcPr>
          <w:p w14:paraId="256E5BBB"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Thr53, Leu169, Leu170, Cys58, Ala54, Pro57</w:t>
            </w:r>
          </w:p>
        </w:tc>
      </w:tr>
      <w:tr w:rsidR="00605EBD" w:rsidRPr="009E1888" w14:paraId="4D11FBFB" w14:textId="77777777" w:rsidTr="00697CA9">
        <w:trPr>
          <w:trHeight w:val="279"/>
        </w:trPr>
        <w:tc>
          <w:tcPr>
            <w:tcW w:w="2109" w:type="dxa"/>
            <w:vMerge/>
            <w:noWrap/>
            <w:vAlign w:val="center"/>
            <w:hideMark/>
          </w:tcPr>
          <w:p w14:paraId="4B063E35" w14:textId="77777777" w:rsidR="00605EBD" w:rsidRPr="009E1888" w:rsidRDefault="00605EBD" w:rsidP="00697CA9">
            <w:pPr>
              <w:jc w:val="center"/>
              <w:rPr>
                <w:rFonts w:ascii="Times New Roman" w:hAnsi="Times New Roman" w:cs="Times New Roman"/>
                <w:sz w:val="24"/>
                <w:szCs w:val="24"/>
              </w:rPr>
            </w:pPr>
          </w:p>
        </w:tc>
        <w:tc>
          <w:tcPr>
            <w:tcW w:w="1314" w:type="dxa"/>
            <w:noWrap/>
            <w:vAlign w:val="center"/>
            <w:hideMark/>
          </w:tcPr>
          <w:p w14:paraId="498D494D"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TP53</w:t>
            </w:r>
          </w:p>
        </w:tc>
        <w:tc>
          <w:tcPr>
            <w:tcW w:w="1772" w:type="dxa"/>
            <w:noWrap/>
            <w:vAlign w:val="center"/>
            <w:hideMark/>
          </w:tcPr>
          <w:p w14:paraId="4C41E4D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rPr>
              <w:t>-8.6</w:t>
            </w:r>
          </w:p>
        </w:tc>
        <w:tc>
          <w:tcPr>
            <w:tcW w:w="4969" w:type="dxa"/>
            <w:noWrap/>
            <w:vAlign w:val="center"/>
            <w:hideMark/>
          </w:tcPr>
          <w:p w14:paraId="16F4EC17" w14:textId="77777777" w:rsidR="00605EBD" w:rsidRPr="009E1888" w:rsidRDefault="00605EBD" w:rsidP="00697CA9">
            <w:pPr>
              <w:jc w:val="center"/>
              <w:rPr>
                <w:rFonts w:ascii="Times New Roman" w:hAnsi="Times New Roman" w:cs="Times New Roman"/>
                <w:sz w:val="24"/>
                <w:szCs w:val="24"/>
              </w:rPr>
            </w:pPr>
            <w:r w:rsidRPr="009E1888">
              <w:rPr>
                <w:rFonts w:ascii="Times New Roman" w:hAnsi="Times New Roman" w:cs="Times New Roman"/>
                <w:sz w:val="24"/>
                <w:szCs w:val="24"/>
                <w:lang w:val="de-DE"/>
              </w:rPr>
              <w:t>Asp622, Cys621, Leu188, Leu619, Glu1886, Gln1882, Lys1814, Arg1813</w:t>
            </w:r>
          </w:p>
        </w:tc>
      </w:tr>
    </w:tbl>
    <w:p w14:paraId="45FCACEA" w14:textId="77777777" w:rsidR="00605EBD" w:rsidRPr="009E1888" w:rsidRDefault="00605EBD" w:rsidP="00605EBD">
      <w:pPr>
        <w:spacing w:after="0" w:line="240" w:lineRule="auto"/>
        <w:jc w:val="both"/>
        <w:rPr>
          <w:rFonts w:ascii="Times New Roman" w:hAnsi="Times New Roman" w:cs="Times New Roman"/>
          <w:sz w:val="24"/>
          <w:szCs w:val="24"/>
        </w:rPr>
      </w:pPr>
    </w:p>
    <w:p w14:paraId="098279F5"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Rutin, Isoquercetin, and Ellagic Acid Promote Structural Stabilization of Parkinson s-Associated Proteins</w:t>
      </w:r>
    </w:p>
    <w:p w14:paraId="6D8D6386"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 xml:space="preserve">The molecular dynamics simulation results collectively demonstrate that ligand binding, particularly by rutin, isoquercetin, and ellagic acid, significantly stabilizes the target proteins by enhancing structural compactness, reducing flexibility, and minimizing solvent exposure. </w:t>
      </w:r>
      <w:r w:rsidRPr="009E1888">
        <w:rPr>
          <w:rFonts w:ascii="Times New Roman" w:eastAsia="Times New Roman" w:hAnsi="Times New Roman" w:cs="Times New Roman"/>
          <w:color w:val="000000" w:themeColor="text1"/>
          <w:sz w:val="24"/>
          <w:szCs w:val="24"/>
        </w:rPr>
        <w:t xml:space="preserve">The RMSD plots in Figure 1 illustrate the structural stability of various protein-ligand complexes over a 100-nanosecond molecular dynamics simulation. </w:t>
      </w:r>
      <w:r w:rsidRPr="009E1888">
        <w:rPr>
          <w:rFonts w:ascii="Times New Roman" w:hAnsi="Times New Roman" w:cs="Times New Roman"/>
          <w:sz w:val="24"/>
          <w:szCs w:val="24"/>
        </w:rPr>
        <w:t>RMSD profiles (Figure 5a) show that all ligand-bound complexes exhibit markedly lower deviations compared to their apo forms, with rutin consistently maintaining RMSD values below 0.4 nm across targets such as ESR, SRC, and TP53. Rg plots (Figure 5c) further support this stabilization, as ligand-bound proteins adopt more compact conformations over time, the TP53–rutin complex decreasing from ~6.6 nm to ~4.2 nm. Complementing this, SASA analyses (Supplementary Figure S5) reveal substantial reductions in solvent-exposed surface area, most notably in TP53-rutin interaction, from 2900 to 1400 nm², and ESR-rutin at approximately 560 to 330 nm², indicating tighter molecular packing.RMSF data (Figure 5b) confirm that ligand binding dampens residue-level mobility, particularly in flexible loop and terminal regions, with rutin and isoquercetin suppressing excessive motion while preserving key structural dynamics. Together, these findings suggest that the ligands promote thermodynamically favorable conformations, reduce conformational entropy, and confer enhanced molecular rigidity features that support their potential as stabilizing agents for modulating aberrant protein behavior in disease contexts.</w:t>
      </w:r>
    </w:p>
    <w:p w14:paraId="642FFC5F"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noProof/>
          <w:sz w:val="24"/>
          <w:szCs w:val="24"/>
        </w:rPr>
        <mc:AlternateContent>
          <mc:Choice Requires="wps">
            <w:drawing>
              <wp:anchor distT="45720" distB="45720" distL="114300" distR="114300" simplePos="0" relativeHeight="251659264" behindDoc="0" locked="0" layoutInCell="1" allowOverlap="1" wp14:anchorId="1A5B1DBC" wp14:editId="34906BD8">
                <wp:simplePos x="0" y="0"/>
                <wp:positionH relativeFrom="column">
                  <wp:posOffset>-213360</wp:posOffset>
                </wp:positionH>
                <wp:positionV relativeFrom="page">
                  <wp:posOffset>4983480</wp:posOffset>
                </wp:positionV>
                <wp:extent cx="647700" cy="32766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327660"/>
                        </a:xfrm>
                        <a:prstGeom prst="rect">
                          <a:avLst/>
                        </a:prstGeom>
                        <a:noFill/>
                        <a:ln w="9525">
                          <a:noFill/>
                          <a:miter lim="800000"/>
                          <a:headEnd/>
                          <a:tailEnd/>
                        </a:ln>
                      </wps:spPr>
                      <wps:txbx>
                        <w:txbxContent>
                          <w:p w14:paraId="6B69EB74" w14:textId="77777777" w:rsidR="00605EBD" w:rsidRDefault="00605EBD" w:rsidP="00605E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5B1DBC" id="_x0000_t202" coordsize="21600,21600" o:spt="202" path="m,l,21600r21600,l21600,xe">
                <v:stroke joinstyle="miter"/>
                <v:path gradientshapeok="t" o:connecttype="rect"/>
              </v:shapetype>
              <v:shape id="Text Box 2" o:spid="_x0000_s1026" type="#_x0000_t202" style="position:absolute;left:0;text-align:left;margin-left:-16.8pt;margin-top:392.4pt;width:51pt;height:25.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" filled="f" stroked="f">
                <v:textbox>
                  <w:txbxContent>
                    <w:p w14:paraId="6B69EB74" w14:textId="77777777" w:rsidR="00605EBD" w:rsidRDefault="00605EBD" w:rsidP="00605EBD"/>
                  </w:txbxContent>
                </v:textbox>
                <w10:wrap anchory="page"/>
              </v:shape>
            </w:pict>
          </mc:Fallback>
        </mc:AlternateContent>
      </w:r>
    </w:p>
    <w:p w14:paraId="1FF1A98C" w14:textId="77777777" w:rsidR="00605EBD" w:rsidRPr="009E1888" w:rsidRDefault="00605EBD" w:rsidP="00605EBD">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386204D" wp14:editId="6B91F3DA">
            <wp:extent cx="6296660" cy="3151669"/>
            <wp:effectExtent l="0" t="0" r="8890" b="0"/>
            <wp:docPr id="5548784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10266" cy="3158479"/>
                    </a:xfrm>
                    <a:prstGeom prst="rect">
                      <a:avLst/>
                    </a:prstGeom>
                    <a:noFill/>
                  </pic:spPr>
                </pic:pic>
              </a:graphicData>
            </a:graphic>
          </wp:inline>
        </w:drawing>
      </w:r>
    </w:p>
    <w:p w14:paraId="15021BF4" w14:textId="77777777" w:rsidR="00605EBD" w:rsidRPr="009E1888" w:rsidRDefault="00605EBD" w:rsidP="00605EBD">
      <w:pPr>
        <w:spacing w:after="0" w:line="240" w:lineRule="auto"/>
        <w:jc w:val="both"/>
        <w:rPr>
          <w:rFonts w:ascii="Times New Roman" w:hAnsi="Times New Roman" w:cs="Times New Roman"/>
          <w:sz w:val="24"/>
          <w:szCs w:val="24"/>
        </w:rPr>
      </w:pPr>
      <w:r>
        <w:rPr>
          <w:noProof/>
        </w:rPr>
        <w:drawing>
          <wp:inline distT="0" distB="0" distL="0" distR="0" wp14:anchorId="5944CFC8" wp14:editId="3FE4008D">
            <wp:extent cx="5943600" cy="3049270"/>
            <wp:effectExtent l="0" t="0" r="0" b="0"/>
            <wp:docPr id="1394162895" name="Picture 3" descr="A group of graphs showing different colors">
              <a:extLst xmlns:a="http://schemas.openxmlformats.org/drawingml/2006/main">
                <a:ext uri="{FF2B5EF4-FFF2-40B4-BE49-F238E27FC236}">
                  <a16:creationId xmlns:a16="http://schemas.microsoft.com/office/drawing/2014/main" id="{698D1A8B-0F0A-3A16-22B3-1C8ECA75A5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62895" name="Picture 3" descr="A group of graphs showing different colors">
                      <a:extLst>
                        <a:ext uri="{FF2B5EF4-FFF2-40B4-BE49-F238E27FC236}">
                          <a16:creationId xmlns:a16="http://schemas.microsoft.com/office/drawing/2014/main" id="{698D1A8B-0F0A-3A16-22B3-1C8ECA75A59B}"/>
                        </a:ext>
                      </a:extLst>
                    </pic:cNvPr>
                    <pic:cNvPicPr>
                      <a:picLocks noChangeAspect="1"/>
                    </pic:cNvPicPr>
                  </pic:nvPicPr>
                  <pic:blipFill>
                    <a:blip r:embed="rId28"/>
                    <a:stretch>
                      <a:fillRect/>
                    </a:stretch>
                  </pic:blipFill>
                  <pic:spPr>
                    <a:xfrm>
                      <a:off x="0" y="0"/>
                      <a:ext cx="5943600" cy="3049270"/>
                    </a:xfrm>
                    <a:prstGeom prst="rect">
                      <a:avLst/>
                    </a:prstGeom>
                  </pic:spPr>
                </pic:pic>
              </a:graphicData>
            </a:graphic>
          </wp:inline>
        </w:drawing>
      </w:r>
    </w:p>
    <w:p w14:paraId="0CF72D0C" w14:textId="77777777" w:rsidR="00605EBD" w:rsidRPr="009E1888" w:rsidRDefault="00605EBD" w:rsidP="00605EBD">
      <w:pPr>
        <w:spacing w:after="0" w:line="240" w:lineRule="auto"/>
        <w:jc w:val="both"/>
        <w:rPr>
          <w:rFonts w:ascii="Times New Roman" w:hAnsi="Times New Roman" w:cs="Times New Roman"/>
          <w:sz w:val="24"/>
          <w:szCs w:val="24"/>
        </w:rPr>
      </w:pPr>
      <w:r>
        <w:rPr>
          <w:noProof/>
        </w:rPr>
        <w:drawing>
          <wp:inline distT="0" distB="0" distL="0" distR="0" wp14:anchorId="28F5F359" wp14:editId="7E8553CD">
            <wp:extent cx="5943600" cy="3021965"/>
            <wp:effectExtent l="0" t="0" r="0" b="6985"/>
            <wp:docPr id="1701177053" name="Content Placeholder 3" descr="A group of graphs showing different colored lines&#10;&#10;AI-generated content may be incorrect.">
              <a:extLst xmlns:a="http://schemas.openxmlformats.org/drawingml/2006/main">
                <a:ext uri="{FF2B5EF4-FFF2-40B4-BE49-F238E27FC236}">
                  <a16:creationId xmlns:a16="http://schemas.microsoft.com/office/drawing/2014/main" id="{D4BF5B3C-E037-5C86-9CE3-83BBC5DCD4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01177053" name="Content Placeholder 3" descr="A group of graphs showing different colored lines&#10;&#10;AI-generated content may be incorrect.">
                      <a:extLst>
                        <a:ext uri="{FF2B5EF4-FFF2-40B4-BE49-F238E27FC236}">
                          <a16:creationId xmlns:a16="http://schemas.microsoft.com/office/drawing/2014/main" id="{D4BF5B3C-E037-5C86-9CE3-83BBC5DCD4BA}"/>
                        </a:ext>
                      </a:extLst>
                    </pic:cNvPr>
                    <pic:cNvPicPr>
                      <a:picLocks noGrp="1" noChangeAspect="1"/>
                    </pic:cNvPicPr>
                  </pic:nvPicPr>
                  <pic:blipFill>
                    <a:blip r:embed="rId29"/>
                    <a:stretch>
                      <a:fillRect/>
                    </a:stretch>
                  </pic:blipFill>
                  <pic:spPr>
                    <a:xfrm>
                      <a:off x="0" y="0"/>
                      <a:ext cx="5943600" cy="3021965"/>
                    </a:xfrm>
                    <a:prstGeom prst="rect">
                      <a:avLst/>
                    </a:prstGeom>
                  </pic:spPr>
                </pic:pic>
              </a:graphicData>
            </a:graphic>
          </wp:inline>
        </w:drawing>
      </w:r>
    </w:p>
    <w:p w14:paraId="0187CAD4"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 xml:space="preserve">Figure </w:t>
      </w:r>
      <w:r>
        <w:rPr>
          <w:rFonts w:ascii="Times New Roman" w:hAnsi="Times New Roman" w:cs="Times New Roman"/>
          <w:sz w:val="24"/>
          <w:szCs w:val="24"/>
        </w:rPr>
        <w:t>5</w:t>
      </w:r>
      <w:r w:rsidRPr="009E1888">
        <w:rPr>
          <w:rFonts w:ascii="Times New Roman" w:hAnsi="Times New Roman" w:cs="Times New Roman"/>
          <w:sz w:val="24"/>
          <w:szCs w:val="24"/>
        </w:rPr>
        <w:t>: RMSD, RMSF and Rg analyses of A.African-related Compound binding to PD-related Protein. 5a. RMSD Profiles of Protein and Protein-Compound Complexes. 5b. RMSF of Compound-Protein Complexes 5b. Radius of Gyration (Rg) Profiles of Compound-Protein Complexes. AKT1–isoquercetin(I), EGFR–quercetin/rutin (II), ESR–rutin (III), SRC–ellagic acid/rutin (IV), TP53–rutin(V)</w:t>
      </w:r>
    </w:p>
    <w:p w14:paraId="517CD399" w14:textId="77777777" w:rsidR="00605EBD" w:rsidRPr="009E1888" w:rsidRDefault="00605EBD" w:rsidP="00605EBD">
      <w:pPr>
        <w:spacing w:after="0" w:line="240" w:lineRule="auto"/>
        <w:jc w:val="both"/>
        <w:rPr>
          <w:rFonts w:ascii="Times New Roman" w:hAnsi="Times New Roman" w:cs="Times New Roman"/>
          <w:sz w:val="24"/>
          <w:szCs w:val="24"/>
        </w:rPr>
      </w:pPr>
    </w:p>
    <w:p w14:paraId="3CCE7158" w14:textId="77777777" w:rsidR="00605EBD" w:rsidRPr="009E1888" w:rsidRDefault="00605EBD" w:rsidP="00605EBD">
      <w:pPr>
        <w:spacing w:after="0" w:line="240" w:lineRule="auto"/>
        <w:jc w:val="both"/>
        <w:rPr>
          <w:rFonts w:ascii="Times New Roman" w:hAnsi="Times New Roman" w:cs="Times New Roman"/>
          <w:sz w:val="24"/>
          <w:szCs w:val="24"/>
        </w:rPr>
      </w:pPr>
    </w:p>
    <w:p w14:paraId="56DF1D53"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Binding affinity and hydrogen bond analysis reveal stabilizing effects of isoquercetin, rutin, and ellagic acid.</w:t>
      </w:r>
    </w:p>
    <w:p w14:paraId="4874E99F" w14:textId="77777777" w:rsidR="00605EBD" w:rsidRPr="00EB262E"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The hydrogen bond analysis shows rutin forms persistent bonds in complexes: EGFR–rutin (8 bonds), ESR-rutin (5-9 bonds), SRC-rutin (12 bonds) and TP53-rutin (18 bonds), indicating high binding affinity (Figure 6). Isoquercetin and ellagic acid maintain consistent hydrogen bonding, though less than rutin. The MMGBSA energy plots and Table 1 (Supplementary Figure S6 and Table 2) reveal ESR-rutin has the most favorable binding free energy, with strong van der Waals and electrostatic interactions. AKT1–isoquercetin, SRC-ellagic acid, and TP53–rutin showed significant binding energies. While EGFR-quercetin and EGFR–rutin show lower binding affinities, they maintain stabilizing interactions. SRC–rutin displays a positive ΔG, likely an anomalous interaction as shown by outlier residue contributions (supplementary Figure S7, Panel VI). Per-residue analysis (supplementary Figure S7) identifies key binding residues: ALA113 and PHE438 in AKT1, ASN1169–1172 in EGFR, LEU78 and ASP84 in ESR, and ASP281 and LEU289 in TP53. These results show that rutin, isoquercetin and ellagic acid mediate robust hydrogen bonding and favorable energetic interactions across PD-relevant protein targets.</w:t>
      </w:r>
    </w:p>
    <w:p w14:paraId="483344E4" w14:textId="77777777" w:rsidR="00605EBD" w:rsidRPr="009E1888" w:rsidRDefault="00605EBD" w:rsidP="00605EBD">
      <w:pPr>
        <w:spacing w:after="0" w:line="240" w:lineRule="auto"/>
        <w:jc w:val="both"/>
        <w:rPr>
          <w:rFonts w:ascii="Times New Roman" w:hAnsi="Times New Roman" w:cs="Times New Roman"/>
          <w:sz w:val="24"/>
          <w:szCs w:val="24"/>
        </w:rPr>
      </w:pPr>
    </w:p>
    <w:p w14:paraId="71E6A748" w14:textId="77777777" w:rsidR="00605EBD" w:rsidRPr="009E1888" w:rsidRDefault="00605EBD" w:rsidP="00605EBD">
      <w:pPr>
        <w:spacing w:after="0" w:line="240" w:lineRule="auto"/>
        <w:jc w:val="both"/>
        <w:rPr>
          <w:rFonts w:ascii="Times New Roman" w:hAnsi="Times New Roman" w:cs="Times New Roman"/>
          <w:sz w:val="24"/>
          <w:szCs w:val="24"/>
        </w:rPr>
      </w:pPr>
      <w:r>
        <w:rPr>
          <w:noProof/>
        </w:rPr>
        <w:drawing>
          <wp:inline distT="0" distB="0" distL="0" distR="0" wp14:anchorId="5BECE1B2" wp14:editId="299B5E2E">
            <wp:extent cx="5943600" cy="3041650"/>
            <wp:effectExtent l="0" t="0" r="0" b="6350"/>
            <wp:docPr id="58" name="Content Placeholder 57" descr="A group of graphs showing different colors&#10;&#10;AI-generated content may be incorrect.">
              <a:extLst xmlns:a="http://schemas.openxmlformats.org/drawingml/2006/main">
                <a:ext uri="{FF2B5EF4-FFF2-40B4-BE49-F238E27FC236}">
                  <a16:creationId xmlns:a16="http://schemas.microsoft.com/office/drawing/2014/main" id="{986E4ECD-C156-EE6E-4C5C-FAF39CA6173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8" name="Content Placeholder 57" descr="A group of graphs showing different colors&#10;&#10;AI-generated content may be incorrect.">
                      <a:extLst>
                        <a:ext uri="{FF2B5EF4-FFF2-40B4-BE49-F238E27FC236}">
                          <a16:creationId xmlns:a16="http://schemas.microsoft.com/office/drawing/2014/main" id="{986E4ECD-C156-EE6E-4C5C-FAF39CA6173E}"/>
                        </a:ext>
                      </a:extLst>
                    </pic:cNvPr>
                    <pic:cNvPicPr>
                      <a:picLocks noGrp="1" noChangeAspect="1"/>
                    </pic:cNvPicPr>
                  </pic:nvPicPr>
                  <pic:blipFill>
                    <a:blip r:embed="rId30"/>
                    <a:stretch>
                      <a:fillRect/>
                    </a:stretch>
                  </pic:blipFill>
                  <pic:spPr>
                    <a:xfrm>
                      <a:off x="0" y="0"/>
                      <a:ext cx="5943600" cy="3041650"/>
                    </a:xfrm>
                    <a:prstGeom prst="rect">
                      <a:avLst/>
                    </a:prstGeom>
                  </pic:spPr>
                </pic:pic>
              </a:graphicData>
            </a:graphic>
          </wp:inline>
        </w:drawing>
      </w:r>
    </w:p>
    <w:p w14:paraId="38AC67CC" w14:textId="77777777" w:rsidR="00605EBD" w:rsidRPr="009E1888" w:rsidRDefault="00605EBD" w:rsidP="00605EBD">
      <w:pPr>
        <w:spacing w:after="0" w:line="240" w:lineRule="auto"/>
        <w:jc w:val="both"/>
        <w:rPr>
          <w:rFonts w:ascii="Times New Roman" w:hAnsi="Times New Roman" w:cs="Times New Roman"/>
          <w:sz w:val="24"/>
          <w:szCs w:val="24"/>
        </w:rPr>
      </w:pPr>
    </w:p>
    <w:p w14:paraId="4916D3A7" w14:textId="77777777" w:rsidR="00605EBD" w:rsidRPr="009E1888" w:rsidRDefault="00605EBD" w:rsidP="00605EBD">
      <w:pPr>
        <w:spacing w:after="0" w:line="240" w:lineRule="auto"/>
        <w:jc w:val="both"/>
        <w:rPr>
          <w:rFonts w:ascii="Times New Roman" w:hAnsi="Times New Roman" w:cs="Times New Roman"/>
          <w:sz w:val="24"/>
          <w:szCs w:val="24"/>
        </w:rPr>
      </w:pPr>
      <w:r w:rsidRPr="009E1888">
        <w:rPr>
          <w:rFonts w:ascii="Times New Roman" w:hAnsi="Times New Roman" w:cs="Times New Roman"/>
          <w:sz w:val="24"/>
          <w:szCs w:val="24"/>
        </w:rPr>
        <w:t>Figure 6. Hydrogen Bonding and Binding Energetics in Protein–Compound Complexes show compound-specific stabilization patterns. AKT1–isoquercetin(I), EGFR–quercetin/rutin (II), ESR–rutin (III), SRC–ellagic acid/rutin (IV), TP53–rutin(V)</w:t>
      </w:r>
    </w:p>
    <w:p w14:paraId="0BC27FA5" w14:textId="77777777" w:rsidR="00605EBD" w:rsidRDefault="00605EBD" w:rsidP="00605EBD">
      <w:pPr>
        <w:spacing w:after="0" w:line="240" w:lineRule="auto"/>
        <w:jc w:val="both"/>
        <w:rPr>
          <w:rFonts w:ascii="Times New Roman" w:eastAsia="Times New Roman" w:hAnsi="Times New Roman" w:cs="Times New Roman"/>
          <w:b/>
          <w:bCs/>
          <w:sz w:val="24"/>
          <w:szCs w:val="24"/>
        </w:rPr>
      </w:pPr>
    </w:p>
    <w:p w14:paraId="3FA7857A" w14:textId="77777777" w:rsidR="00605EBD" w:rsidRPr="009E1888" w:rsidRDefault="00605EBD" w:rsidP="00605EBD">
      <w:pPr>
        <w:spacing w:after="0" w:line="240" w:lineRule="auto"/>
        <w:jc w:val="both"/>
        <w:rPr>
          <w:rFonts w:ascii="Times New Roman" w:eastAsia="Times New Roman" w:hAnsi="Times New Roman" w:cs="Times New Roman"/>
          <w:b/>
          <w:bCs/>
          <w:sz w:val="24"/>
          <w:szCs w:val="24"/>
        </w:rPr>
      </w:pPr>
      <w:r w:rsidRPr="009E1888">
        <w:rPr>
          <w:rFonts w:ascii="Times New Roman" w:eastAsia="Times New Roman" w:hAnsi="Times New Roman" w:cs="Times New Roman"/>
          <w:b/>
          <w:bCs/>
          <w:sz w:val="24"/>
          <w:szCs w:val="24"/>
        </w:rPr>
        <w:t xml:space="preserve">Table </w:t>
      </w:r>
      <w:r>
        <w:rPr>
          <w:rFonts w:ascii="Times New Roman" w:eastAsia="Times New Roman" w:hAnsi="Times New Roman" w:cs="Times New Roman"/>
          <w:b/>
          <w:bCs/>
          <w:sz w:val="24"/>
          <w:szCs w:val="24"/>
        </w:rPr>
        <w:t>2</w:t>
      </w:r>
      <w:r w:rsidRPr="009E1888">
        <w:rPr>
          <w:rFonts w:ascii="Times New Roman" w:eastAsia="Times New Roman" w:hAnsi="Times New Roman" w:cs="Times New Roman"/>
          <w:b/>
          <w:bCs/>
          <w:sz w:val="24"/>
          <w:szCs w:val="24"/>
        </w:rPr>
        <w:t>: MMGBSA Binding Energy Components</w:t>
      </w:r>
    </w:p>
    <w:tbl>
      <w:tblPr>
        <w:tblW w:w="0" w:type="auto"/>
        <w:tblLook w:val="04A0" w:firstRow="1" w:lastRow="0" w:firstColumn="1" w:lastColumn="0" w:noHBand="0" w:noVBand="1"/>
      </w:tblPr>
      <w:tblGrid>
        <w:gridCol w:w="1790"/>
        <w:gridCol w:w="1531"/>
        <w:gridCol w:w="1190"/>
        <w:gridCol w:w="984"/>
        <w:gridCol w:w="968"/>
        <w:gridCol w:w="967"/>
        <w:gridCol w:w="968"/>
        <w:gridCol w:w="962"/>
      </w:tblGrid>
      <w:tr w:rsidR="00605EBD" w:rsidRPr="009E1888" w14:paraId="5DDBD522" w14:textId="77777777" w:rsidTr="00697CA9">
        <w:tc>
          <w:tcPr>
            <w:tcW w:w="1872" w:type="dxa"/>
          </w:tcPr>
          <w:p w14:paraId="18B87D6D" w14:textId="77777777" w:rsidR="00605EBD" w:rsidRPr="009E1888" w:rsidRDefault="00605EBD" w:rsidP="00697CA9">
            <w:pPr>
              <w:jc w:val="both"/>
              <w:rPr>
                <w:rFonts w:ascii="Times New Roman" w:eastAsia="Times New Roman" w:hAnsi="Times New Roman" w:cs="Times New Roman"/>
                <w:b/>
                <w:bCs/>
                <w:sz w:val="24"/>
                <w:szCs w:val="24"/>
              </w:rPr>
            </w:pPr>
            <w:r w:rsidRPr="009E1888">
              <w:rPr>
                <w:rFonts w:ascii="Times New Roman" w:eastAsia="Calibri" w:hAnsi="Times New Roman" w:cs="Times New Roman"/>
                <w:sz w:val="24"/>
                <w:szCs w:val="24"/>
              </w:rPr>
              <w:t>Energy Component</w:t>
            </w:r>
          </w:p>
        </w:tc>
        <w:tc>
          <w:tcPr>
            <w:tcW w:w="1544" w:type="dxa"/>
          </w:tcPr>
          <w:p w14:paraId="78B08BD8" w14:textId="77777777" w:rsidR="00605EBD" w:rsidRPr="009E1888" w:rsidRDefault="00605EBD" w:rsidP="00697CA9">
            <w:pPr>
              <w:jc w:val="both"/>
              <w:rPr>
                <w:rFonts w:ascii="Times New Roman" w:eastAsia="Times New Roman" w:hAnsi="Times New Roman" w:cs="Times New Roman"/>
                <w:b/>
                <w:bCs/>
                <w:sz w:val="24"/>
                <w:szCs w:val="24"/>
              </w:rPr>
            </w:pPr>
            <w:r w:rsidRPr="009E1888">
              <w:rPr>
                <w:rFonts w:ascii="Times New Roman" w:eastAsia="Times New Roman" w:hAnsi="Times New Roman" w:cs="Times New Roman"/>
                <w:b/>
                <w:bCs/>
                <w:sz w:val="24"/>
                <w:szCs w:val="24"/>
              </w:rPr>
              <w:t>AKT1-isoquercetin</w:t>
            </w:r>
          </w:p>
        </w:tc>
        <w:tc>
          <w:tcPr>
            <w:tcW w:w="989" w:type="dxa"/>
          </w:tcPr>
          <w:p w14:paraId="27F1E817"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Times New Roman" w:hAnsi="Times New Roman" w:cs="Times New Roman"/>
                <w:b/>
                <w:bCs/>
                <w:sz w:val="24"/>
                <w:szCs w:val="24"/>
              </w:rPr>
              <w:t>EGFR-quercetin</w:t>
            </w:r>
          </w:p>
        </w:tc>
        <w:tc>
          <w:tcPr>
            <w:tcW w:w="989" w:type="dxa"/>
          </w:tcPr>
          <w:p w14:paraId="06616F55"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Times New Roman" w:hAnsi="Times New Roman" w:cs="Times New Roman"/>
                <w:b/>
                <w:bCs/>
                <w:sz w:val="24"/>
                <w:szCs w:val="24"/>
              </w:rPr>
              <w:t>EGFR-rutin</w:t>
            </w:r>
          </w:p>
        </w:tc>
        <w:tc>
          <w:tcPr>
            <w:tcW w:w="989" w:type="dxa"/>
          </w:tcPr>
          <w:p w14:paraId="62F8D376"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Times New Roman" w:hAnsi="Times New Roman" w:cs="Times New Roman"/>
                <w:b/>
                <w:bCs/>
                <w:sz w:val="24"/>
                <w:szCs w:val="24"/>
              </w:rPr>
              <w:t>ESR-rutin</w:t>
            </w:r>
          </w:p>
        </w:tc>
        <w:tc>
          <w:tcPr>
            <w:tcW w:w="989" w:type="dxa"/>
          </w:tcPr>
          <w:p w14:paraId="7ED54FEC"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Times New Roman" w:hAnsi="Times New Roman" w:cs="Times New Roman"/>
                <w:b/>
                <w:bCs/>
                <w:sz w:val="24"/>
                <w:szCs w:val="24"/>
              </w:rPr>
              <w:t>SRC-ellagic acid</w:t>
            </w:r>
          </w:p>
        </w:tc>
        <w:tc>
          <w:tcPr>
            <w:tcW w:w="989" w:type="dxa"/>
          </w:tcPr>
          <w:p w14:paraId="58680CD1"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Times New Roman" w:hAnsi="Times New Roman" w:cs="Times New Roman"/>
                <w:b/>
                <w:bCs/>
                <w:sz w:val="24"/>
                <w:szCs w:val="24"/>
              </w:rPr>
              <w:t>SRC-rutin</w:t>
            </w:r>
          </w:p>
        </w:tc>
        <w:tc>
          <w:tcPr>
            <w:tcW w:w="989" w:type="dxa"/>
          </w:tcPr>
          <w:p w14:paraId="2AC07FF9" w14:textId="77777777" w:rsidR="00605EBD" w:rsidRPr="009E1888" w:rsidRDefault="00605EBD" w:rsidP="00697CA9">
            <w:pPr>
              <w:jc w:val="both"/>
              <w:rPr>
                <w:rFonts w:ascii="Times New Roman" w:eastAsia="Times New Roman" w:hAnsi="Times New Roman" w:cs="Times New Roman"/>
                <w:b/>
                <w:bCs/>
                <w:sz w:val="24"/>
                <w:szCs w:val="24"/>
              </w:rPr>
            </w:pPr>
            <w:r w:rsidRPr="009E1888">
              <w:rPr>
                <w:rFonts w:ascii="Times New Roman" w:eastAsia="Times New Roman" w:hAnsi="Times New Roman" w:cs="Times New Roman"/>
                <w:b/>
                <w:bCs/>
                <w:sz w:val="24"/>
                <w:szCs w:val="24"/>
              </w:rPr>
              <w:t>TP53-rutin</w:t>
            </w:r>
          </w:p>
          <w:p w14:paraId="35FA4953" w14:textId="77777777" w:rsidR="00605EBD" w:rsidRPr="009E1888" w:rsidRDefault="00605EBD" w:rsidP="00697CA9">
            <w:pPr>
              <w:jc w:val="both"/>
              <w:rPr>
                <w:rFonts w:ascii="Times New Roman" w:eastAsia="Calibri" w:hAnsi="Times New Roman" w:cs="Times New Roman"/>
                <w:sz w:val="24"/>
                <w:szCs w:val="24"/>
              </w:rPr>
            </w:pPr>
          </w:p>
        </w:tc>
      </w:tr>
      <w:tr w:rsidR="00605EBD" w:rsidRPr="009E1888" w14:paraId="3D17DD41" w14:textId="77777777" w:rsidTr="00697CA9">
        <w:tc>
          <w:tcPr>
            <w:tcW w:w="1872" w:type="dxa"/>
          </w:tcPr>
          <w:p w14:paraId="558C6D57"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VDWAALS</w:t>
            </w:r>
          </w:p>
        </w:tc>
        <w:tc>
          <w:tcPr>
            <w:tcW w:w="1544" w:type="dxa"/>
          </w:tcPr>
          <w:p w14:paraId="074B8357"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-33.58</w:t>
            </w:r>
          </w:p>
        </w:tc>
        <w:tc>
          <w:tcPr>
            <w:tcW w:w="989" w:type="dxa"/>
          </w:tcPr>
          <w:p w14:paraId="76FA672F"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-18.42</w:t>
            </w:r>
          </w:p>
        </w:tc>
        <w:tc>
          <w:tcPr>
            <w:tcW w:w="989" w:type="dxa"/>
          </w:tcPr>
          <w:p w14:paraId="7F557A52"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-33.05</w:t>
            </w:r>
          </w:p>
        </w:tc>
        <w:tc>
          <w:tcPr>
            <w:tcW w:w="989" w:type="dxa"/>
          </w:tcPr>
          <w:p w14:paraId="0D428C8F"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-65</w:t>
            </w:r>
          </w:p>
        </w:tc>
        <w:tc>
          <w:tcPr>
            <w:tcW w:w="989" w:type="dxa"/>
          </w:tcPr>
          <w:p w14:paraId="4D170BA9"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-34.54</w:t>
            </w:r>
          </w:p>
        </w:tc>
        <w:tc>
          <w:tcPr>
            <w:tcW w:w="989" w:type="dxa"/>
          </w:tcPr>
          <w:p w14:paraId="082737B4"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417.15</w:t>
            </w:r>
          </w:p>
        </w:tc>
        <w:tc>
          <w:tcPr>
            <w:tcW w:w="989" w:type="dxa"/>
          </w:tcPr>
          <w:p w14:paraId="639097AE"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-33.31</w:t>
            </w:r>
          </w:p>
        </w:tc>
      </w:tr>
      <w:tr w:rsidR="00605EBD" w:rsidRPr="009E1888" w14:paraId="4CCCC590" w14:textId="77777777" w:rsidTr="00697CA9">
        <w:tc>
          <w:tcPr>
            <w:tcW w:w="1872" w:type="dxa"/>
          </w:tcPr>
          <w:p w14:paraId="578FE7CB"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EEL</w:t>
            </w:r>
          </w:p>
        </w:tc>
        <w:tc>
          <w:tcPr>
            <w:tcW w:w="1544" w:type="dxa"/>
          </w:tcPr>
          <w:p w14:paraId="46BC4723"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-46.12</w:t>
            </w:r>
          </w:p>
        </w:tc>
        <w:tc>
          <w:tcPr>
            <w:tcW w:w="989" w:type="dxa"/>
          </w:tcPr>
          <w:p w14:paraId="4001F53D"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-22.43</w:t>
            </w:r>
          </w:p>
        </w:tc>
        <w:tc>
          <w:tcPr>
            <w:tcW w:w="989" w:type="dxa"/>
          </w:tcPr>
          <w:p w14:paraId="2629F1BD"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40.13</w:t>
            </w:r>
          </w:p>
        </w:tc>
        <w:tc>
          <w:tcPr>
            <w:tcW w:w="989" w:type="dxa"/>
          </w:tcPr>
          <w:p w14:paraId="322BAB90"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-38.44</w:t>
            </w:r>
          </w:p>
        </w:tc>
        <w:tc>
          <w:tcPr>
            <w:tcW w:w="989" w:type="dxa"/>
          </w:tcPr>
          <w:p w14:paraId="50618D3A"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-40.91</w:t>
            </w:r>
          </w:p>
        </w:tc>
        <w:tc>
          <w:tcPr>
            <w:tcW w:w="989" w:type="dxa"/>
          </w:tcPr>
          <w:p w14:paraId="4973C2B6"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-48.98</w:t>
            </w:r>
          </w:p>
        </w:tc>
        <w:tc>
          <w:tcPr>
            <w:tcW w:w="989" w:type="dxa"/>
          </w:tcPr>
          <w:p w14:paraId="79019562"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-37.09</w:t>
            </w:r>
          </w:p>
        </w:tc>
      </w:tr>
      <w:tr w:rsidR="00605EBD" w:rsidRPr="009E1888" w14:paraId="5107AFBF" w14:textId="77777777" w:rsidTr="00697CA9">
        <w:tc>
          <w:tcPr>
            <w:tcW w:w="1872" w:type="dxa"/>
          </w:tcPr>
          <w:p w14:paraId="66C413FB"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EGB</w:t>
            </w:r>
          </w:p>
        </w:tc>
        <w:tc>
          <w:tcPr>
            <w:tcW w:w="1544" w:type="dxa"/>
          </w:tcPr>
          <w:p w14:paraId="0B3F68E4"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57.52</w:t>
            </w:r>
          </w:p>
        </w:tc>
        <w:tc>
          <w:tcPr>
            <w:tcW w:w="989" w:type="dxa"/>
          </w:tcPr>
          <w:p w14:paraId="1AA7AB1A"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27.91</w:t>
            </w:r>
          </w:p>
        </w:tc>
        <w:tc>
          <w:tcPr>
            <w:tcW w:w="989" w:type="dxa"/>
          </w:tcPr>
          <w:p w14:paraId="2D5BC7BB"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58.36</w:t>
            </w:r>
          </w:p>
        </w:tc>
        <w:tc>
          <w:tcPr>
            <w:tcW w:w="989" w:type="dxa"/>
          </w:tcPr>
          <w:p w14:paraId="350A2F1F"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63.16</w:t>
            </w:r>
          </w:p>
        </w:tc>
        <w:tc>
          <w:tcPr>
            <w:tcW w:w="989" w:type="dxa"/>
          </w:tcPr>
          <w:p w14:paraId="62BE7819"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52.8</w:t>
            </w:r>
          </w:p>
        </w:tc>
        <w:tc>
          <w:tcPr>
            <w:tcW w:w="989" w:type="dxa"/>
          </w:tcPr>
          <w:p w14:paraId="40124DFE"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85.18</w:t>
            </w:r>
          </w:p>
        </w:tc>
        <w:tc>
          <w:tcPr>
            <w:tcW w:w="989" w:type="dxa"/>
          </w:tcPr>
          <w:p w14:paraId="1946ED3B"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50.06</w:t>
            </w:r>
          </w:p>
        </w:tc>
      </w:tr>
      <w:tr w:rsidR="00605EBD" w:rsidRPr="009E1888" w14:paraId="43D946C7" w14:textId="77777777" w:rsidTr="00697CA9">
        <w:tc>
          <w:tcPr>
            <w:tcW w:w="1872" w:type="dxa"/>
          </w:tcPr>
          <w:p w14:paraId="2EEE1EE2"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ESURF</w:t>
            </w:r>
          </w:p>
        </w:tc>
        <w:tc>
          <w:tcPr>
            <w:tcW w:w="1544" w:type="dxa"/>
          </w:tcPr>
          <w:p w14:paraId="00239E8B"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-4.68</w:t>
            </w:r>
          </w:p>
        </w:tc>
        <w:tc>
          <w:tcPr>
            <w:tcW w:w="989" w:type="dxa"/>
          </w:tcPr>
          <w:p w14:paraId="7185F72F"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-3.05</w:t>
            </w:r>
          </w:p>
        </w:tc>
        <w:tc>
          <w:tcPr>
            <w:tcW w:w="989" w:type="dxa"/>
          </w:tcPr>
          <w:p w14:paraId="3B68CB39"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-4.97</w:t>
            </w:r>
          </w:p>
        </w:tc>
        <w:tc>
          <w:tcPr>
            <w:tcW w:w="989" w:type="dxa"/>
          </w:tcPr>
          <w:p w14:paraId="3E492964"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-9.25</w:t>
            </w:r>
          </w:p>
        </w:tc>
        <w:tc>
          <w:tcPr>
            <w:tcW w:w="989" w:type="dxa"/>
          </w:tcPr>
          <w:p w14:paraId="17C5B972"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-4.59</w:t>
            </w:r>
          </w:p>
        </w:tc>
        <w:tc>
          <w:tcPr>
            <w:tcW w:w="989" w:type="dxa"/>
          </w:tcPr>
          <w:p w14:paraId="17681545"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-7.84</w:t>
            </w:r>
          </w:p>
        </w:tc>
        <w:tc>
          <w:tcPr>
            <w:tcW w:w="989" w:type="dxa"/>
          </w:tcPr>
          <w:p w14:paraId="0F04BD27"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-5.17</w:t>
            </w:r>
          </w:p>
        </w:tc>
      </w:tr>
      <w:tr w:rsidR="00605EBD" w:rsidRPr="009E1888" w14:paraId="6D2B48F9" w14:textId="77777777" w:rsidTr="00697CA9">
        <w:tc>
          <w:tcPr>
            <w:tcW w:w="1872" w:type="dxa"/>
          </w:tcPr>
          <w:p w14:paraId="017D1052"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GGAS</w:t>
            </w:r>
          </w:p>
        </w:tc>
        <w:tc>
          <w:tcPr>
            <w:tcW w:w="1544" w:type="dxa"/>
          </w:tcPr>
          <w:p w14:paraId="35E7CCF7"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-79.7</w:t>
            </w:r>
          </w:p>
        </w:tc>
        <w:tc>
          <w:tcPr>
            <w:tcW w:w="989" w:type="dxa"/>
          </w:tcPr>
          <w:p w14:paraId="18AEFBE5"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-41.25</w:t>
            </w:r>
          </w:p>
        </w:tc>
        <w:tc>
          <w:tcPr>
            <w:tcW w:w="989" w:type="dxa"/>
          </w:tcPr>
          <w:p w14:paraId="0C024F2B"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-73.19</w:t>
            </w:r>
          </w:p>
        </w:tc>
        <w:tc>
          <w:tcPr>
            <w:tcW w:w="989" w:type="dxa"/>
          </w:tcPr>
          <w:p w14:paraId="4FA3E954"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-103.44</w:t>
            </w:r>
          </w:p>
        </w:tc>
        <w:tc>
          <w:tcPr>
            <w:tcW w:w="989" w:type="dxa"/>
          </w:tcPr>
          <w:p w14:paraId="5E3B2B02"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 xml:space="preserve">-75.45 </w:t>
            </w:r>
          </w:p>
        </w:tc>
        <w:tc>
          <w:tcPr>
            <w:tcW w:w="989" w:type="dxa"/>
          </w:tcPr>
          <w:p w14:paraId="1EEDD05C"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368.17</w:t>
            </w:r>
          </w:p>
        </w:tc>
        <w:tc>
          <w:tcPr>
            <w:tcW w:w="989" w:type="dxa"/>
          </w:tcPr>
          <w:p w14:paraId="245F0ABA"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-70.4</w:t>
            </w:r>
          </w:p>
        </w:tc>
      </w:tr>
      <w:tr w:rsidR="00605EBD" w:rsidRPr="009E1888" w14:paraId="2940893D" w14:textId="77777777" w:rsidTr="00697CA9">
        <w:tc>
          <w:tcPr>
            <w:tcW w:w="1872" w:type="dxa"/>
          </w:tcPr>
          <w:p w14:paraId="309B7CA2"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GSOLV</w:t>
            </w:r>
          </w:p>
        </w:tc>
        <w:tc>
          <w:tcPr>
            <w:tcW w:w="1544" w:type="dxa"/>
          </w:tcPr>
          <w:p w14:paraId="58091636"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52.84</w:t>
            </w:r>
          </w:p>
        </w:tc>
        <w:tc>
          <w:tcPr>
            <w:tcW w:w="989" w:type="dxa"/>
          </w:tcPr>
          <w:p w14:paraId="6FA5FAC5"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24.87</w:t>
            </w:r>
          </w:p>
        </w:tc>
        <w:tc>
          <w:tcPr>
            <w:tcW w:w="989" w:type="dxa"/>
          </w:tcPr>
          <w:p w14:paraId="4D9239A6"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53.39</w:t>
            </w:r>
          </w:p>
        </w:tc>
        <w:tc>
          <w:tcPr>
            <w:tcW w:w="989" w:type="dxa"/>
          </w:tcPr>
          <w:p w14:paraId="7DBA664C"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53.9</w:t>
            </w:r>
          </w:p>
        </w:tc>
        <w:tc>
          <w:tcPr>
            <w:tcW w:w="989" w:type="dxa"/>
          </w:tcPr>
          <w:p w14:paraId="72F37F5F"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48.21</w:t>
            </w:r>
          </w:p>
        </w:tc>
        <w:tc>
          <w:tcPr>
            <w:tcW w:w="989" w:type="dxa"/>
          </w:tcPr>
          <w:p w14:paraId="026A52D5"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77.34</w:t>
            </w:r>
          </w:p>
        </w:tc>
        <w:tc>
          <w:tcPr>
            <w:tcW w:w="989" w:type="dxa"/>
          </w:tcPr>
          <w:p w14:paraId="43F85779"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44.88</w:t>
            </w:r>
          </w:p>
        </w:tc>
      </w:tr>
      <w:tr w:rsidR="00605EBD" w:rsidRPr="009E1888" w14:paraId="205A3E64" w14:textId="77777777" w:rsidTr="00697CA9">
        <w:tc>
          <w:tcPr>
            <w:tcW w:w="1872" w:type="dxa"/>
          </w:tcPr>
          <w:p w14:paraId="2BDDB032" w14:textId="77777777" w:rsidR="00605EBD" w:rsidRPr="009E1888" w:rsidRDefault="00605EBD" w:rsidP="00697CA9">
            <w:pPr>
              <w:jc w:val="both"/>
              <w:rPr>
                <w:rFonts w:ascii="Times New Roman" w:eastAsia="Times New Roman" w:hAnsi="Times New Roman" w:cs="Times New Roman"/>
                <w:iCs/>
                <w:sz w:val="24"/>
                <w:szCs w:val="24"/>
              </w:rPr>
            </w:pPr>
            <w:r w:rsidRPr="009E1888">
              <w:rPr>
                <w:rFonts w:ascii="Times New Roman" w:eastAsia="Calibri" w:hAnsi="Times New Roman" w:cs="Times New Roman"/>
                <w:sz w:val="24"/>
                <w:szCs w:val="24"/>
              </w:rPr>
              <w:t>TOTAL ΔG</w:t>
            </w:r>
          </w:p>
        </w:tc>
        <w:tc>
          <w:tcPr>
            <w:tcW w:w="1544" w:type="dxa"/>
          </w:tcPr>
          <w:p w14:paraId="72BD2921" w14:textId="77777777" w:rsidR="00605EBD" w:rsidRPr="009E1888" w:rsidRDefault="00605EBD" w:rsidP="00697CA9">
            <w:pPr>
              <w:jc w:val="both"/>
              <w:rPr>
                <w:rFonts w:ascii="Times New Roman" w:eastAsia="Times New Roman" w:hAnsi="Times New Roman" w:cs="Times New Roman"/>
                <w:sz w:val="24"/>
                <w:szCs w:val="24"/>
              </w:rPr>
            </w:pPr>
            <w:r w:rsidRPr="009E1888">
              <w:rPr>
                <w:rFonts w:ascii="Times New Roman" w:eastAsia="Times New Roman" w:hAnsi="Times New Roman" w:cs="Times New Roman"/>
                <w:sz w:val="24"/>
                <w:szCs w:val="24"/>
              </w:rPr>
              <w:t>-26.86</w:t>
            </w:r>
          </w:p>
        </w:tc>
        <w:tc>
          <w:tcPr>
            <w:tcW w:w="989" w:type="dxa"/>
          </w:tcPr>
          <w:p w14:paraId="5DDFD551"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-16.39</w:t>
            </w:r>
          </w:p>
        </w:tc>
        <w:tc>
          <w:tcPr>
            <w:tcW w:w="989" w:type="dxa"/>
          </w:tcPr>
          <w:p w14:paraId="6F0767DA"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-19.8</w:t>
            </w:r>
          </w:p>
        </w:tc>
        <w:tc>
          <w:tcPr>
            <w:tcW w:w="989" w:type="dxa"/>
          </w:tcPr>
          <w:p w14:paraId="0A2817D3"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-49.54</w:t>
            </w:r>
          </w:p>
        </w:tc>
        <w:tc>
          <w:tcPr>
            <w:tcW w:w="989" w:type="dxa"/>
          </w:tcPr>
          <w:p w14:paraId="3F26B66B"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-27.24</w:t>
            </w:r>
          </w:p>
        </w:tc>
        <w:tc>
          <w:tcPr>
            <w:tcW w:w="989" w:type="dxa"/>
          </w:tcPr>
          <w:p w14:paraId="4B310CA0"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445.51</w:t>
            </w:r>
          </w:p>
        </w:tc>
        <w:tc>
          <w:tcPr>
            <w:tcW w:w="989" w:type="dxa"/>
          </w:tcPr>
          <w:p w14:paraId="33BE233A" w14:textId="77777777" w:rsidR="00605EBD" w:rsidRPr="009E1888" w:rsidRDefault="00605EBD" w:rsidP="00697CA9">
            <w:pPr>
              <w:jc w:val="both"/>
              <w:rPr>
                <w:rFonts w:ascii="Times New Roman" w:eastAsia="Calibri" w:hAnsi="Times New Roman" w:cs="Times New Roman"/>
                <w:sz w:val="24"/>
                <w:szCs w:val="24"/>
              </w:rPr>
            </w:pPr>
            <w:r w:rsidRPr="009E1888">
              <w:rPr>
                <w:rFonts w:ascii="Times New Roman" w:eastAsia="Calibri" w:hAnsi="Times New Roman" w:cs="Times New Roman"/>
                <w:sz w:val="24"/>
                <w:szCs w:val="24"/>
              </w:rPr>
              <w:t>-25.51</w:t>
            </w:r>
          </w:p>
        </w:tc>
      </w:tr>
    </w:tbl>
    <w:p w14:paraId="41183F65" w14:textId="77777777" w:rsidR="00605EBD" w:rsidRPr="009E1888" w:rsidRDefault="00605EBD" w:rsidP="00605EBD">
      <w:pPr>
        <w:spacing w:after="0" w:line="240" w:lineRule="auto"/>
        <w:jc w:val="both"/>
        <w:rPr>
          <w:rFonts w:ascii="Times New Roman" w:hAnsi="Times New Roman" w:cs="Times New Roman"/>
          <w:sz w:val="24"/>
          <w:szCs w:val="24"/>
        </w:rPr>
      </w:pPr>
    </w:p>
    <w:p w14:paraId="5A44E0F4" w14:textId="77777777" w:rsidR="00605EBD" w:rsidRPr="009E1888" w:rsidRDefault="00605EBD" w:rsidP="00605EBD">
      <w:pPr>
        <w:spacing w:after="0" w:line="240" w:lineRule="auto"/>
        <w:jc w:val="both"/>
        <w:rPr>
          <w:rFonts w:ascii="Times New Roman" w:hAnsi="Times New Roman" w:cs="Times New Roman"/>
          <w:b/>
          <w:bCs/>
          <w:sz w:val="24"/>
          <w:szCs w:val="24"/>
        </w:rPr>
      </w:pPr>
      <w:r w:rsidRPr="009E1888">
        <w:rPr>
          <w:rFonts w:ascii="Times New Roman" w:hAnsi="Times New Roman" w:cs="Times New Roman"/>
          <w:b/>
          <w:bCs/>
          <w:sz w:val="24"/>
          <w:szCs w:val="24"/>
        </w:rPr>
        <w:t>Conformational Dynamics of Protein-Compound Complexes</w:t>
      </w:r>
    </w:p>
    <w:p w14:paraId="1F76D3A0" w14:textId="77777777" w:rsidR="00605EBD" w:rsidRPr="009E1888" w:rsidRDefault="00605EBD" w:rsidP="00605EBD">
      <w:pPr>
        <w:spacing w:after="0" w:line="240" w:lineRule="auto"/>
        <w:jc w:val="both"/>
        <w:rPr>
          <w:rFonts w:ascii="Times New Roman" w:hAnsi="Times New Roman" w:cs="Times New Roman"/>
          <w:sz w:val="24"/>
          <w:szCs w:val="24"/>
        </w:rPr>
      </w:pPr>
      <w:r w:rsidRPr="00EB262E">
        <w:rPr>
          <w:rFonts w:ascii="Times New Roman" w:hAnsi="Times New Roman" w:cs="Times New Roman"/>
          <w:sz w:val="24"/>
          <w:szCs w:val="24"/>
        </w:rPr>
        <w:t>Principal Component Analysis (PCA) assessed large-scale motions and conformational diversity of protein–ligand complexes. The 2D PCA projections (Figure 7a) reveal conformational space along the first and third principal components. AKT1-isoquercetin shows moderate motion, while EGFR-rutin samples a wider conformational space than EGFR-quercetin, indicating ligand-induced flexibility (Figure 7b). ESR–rutin displays two conformational clusters, suggesting metastable transitions. SRC-rutin spans a wider space than SRC–ellagic acid, and TP53-rutin shows extensive dispersion. AKT1–isoquercetin and EGFR–quercetin also exhibit constrained fluctuations across vectors. Rutin-bound systems display enhanced variability in vec1 and vec2, suggesting increased flexibility. The eigenvalue spectra (Supplementaty Figure S8) confirm essential motions within the first principal components. TP53-rutin has a high first eigenvalue (480 nm²), while EGFR and AKT1 complexes show modest distributions (7-8 nm²). RMSF along</w:t>
      </w:r>
      <w:r w:rsidRPr="009E1888">
        <w:rPr>
          <w:rFonts w:ascii="Times New Roman" w:hAnsi="Times New Roman" w:cs="Times New Roman"/>
          <w:sz w:val="24"/>
          <w:szCs w:val="24"/>
        </w:rPr>
        <w:t xml:space="preserve"> principal components (</w:t>
      </w:r>
      <w:r w:rsidRPr="00EB262E">
        <w:rPr>
          <w:rFonts w:ascii="Times New Roman" w:hAnsi="Times New Roman" w:cs="Times New Roman"/>
          <w:sz w:val="24"/>
          <w:szCs w:val="24"/>
        </w:rPr>
        <w:t>Supplementary Figure S9) shows</w:t>
      </w:r>
      <w:r w:rsidRPr="009E1888">
        <w:rPr>
          <w:rFonts w:ascii="Times New Roman" w:hAnsi="Times New Roman" w:cs="Times New Roman"/>
          <w:sz w:val="24"/>
          <w:szCs w:val="24"/>
        </w:rPr>
        <w:t xml:space="preserve"> that rutin induces higher fluctuations in EGFR and SRC compared to quercetin and ellagic acid. TP53-rutin shows uniform fluctuation across vec1-vec3, while AKT1-isoquercetin remains stable with localized flexibility.</w:t>
      </w:r>
    </w:p>
    <w:p w14:paraId="2CA15294" w14:textId="77777777" w:rsidR="00605EBD" w:rsidRPr="009E1888" w:rsidRDefault="00605EBD" w:rsidP="00605EBD">
      <w:pPr>
        <w:spacing w:after="0" w:line="240" w:lineRule="auto"/>
        <w:jc w:val="both"/>
        <w:rPr>
          <w:rFonts w:ascii="Times New Roman" w:hAnsi="Times New Roman" w:cs="Times New Roman"/>
          <w:sz w:val="24"/>
          <w:szCs w:val="24"/>
        </w:rPr>
      </w:pPr>
      <w:r>
        <w:rPr>
          <w:noProof/>
        </w:rPr>
        <w:drawing>
          <wp:inline distT="0" distB="0" distL="0" distR="0" wp14:anchorId="4878CF7F" wp14:editId="5DBD0B3C">
            <wp:extent cx="5943600" cy="2989580"/>
            <wp:effectExtent l="0" t="0" r="0" b="1270"/>
            <wp:docPr id="36" name="Content Placeholder 35" descr="A group of colorful blotches&#10;&#10;AI-generated content may be incorrect.">
              <a:extLst xmlns:a="http://schemas.openxmlformats.org/drawingml/2006/main">
                <a:ext uri="{FF2B5EF4-FFF2-40B4-BE49-F238E27FC236}">
                  <a16:creationId xmlns:a16="http://schemas.microsoft.com/office/drawing/2014/main" id="{D1729324-28D6-D332-CB8E-6BA4BF7D7C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6" name="Content Placeholder 35" descr="A group of colorful blotches&#10;&#10;AI-generated content may be incorrect.">
                      <a:extLst>
                        <a:ext uri="{FF2B5EF4-FFF2-40B4-BE49-F238E27FC236}">
                          <a16:creationId xmlns:a16="http://schemas.microsoft.com/office/drawing/2014/main" id="{D1729324-28D6-D332-CB8E-6BA4BF7D7CF1}"/>
                        </a:ext>
                      </a:extLst>
                    </pic:cNvPr>
                    <pic:cNvPicPr>
                      <a:picLocks noGrp="1" noChangeAspect="1"/>
                    </pic:cNvPicPr>
                  </pic:nvPicPr>
                  <pic:blipFill>
                    <a:blip r:embed="rId31"/>
                    <a:stretch>
                      <a:fillRect/>
                    </a:stretch>
                  </pic:blipFill>
                  <pic:spPr>
                    <a:xfrm>
                      <a:off x="0" y="0"/>
                      <a:ext cx="5943600" cy="2989580"/>
                    </a:xfrm>
                    <a:prstGeom prst="rect">
                      <a:avLst/>
                    </a:prstGeom>
                  </pic:spPr>
                </pic:pic>
              </a:graphicData>
            </a:graphic>
          </wp:inline>
        </w:drawing>
      </w:r>
    </w:p>
    <w:p w14:paraId="43E9CD1C" w14:textId="77777777" w:rsidR="00605EBD" w:rsidRPr="009E1888" w:rsidRDefault="00605EBD" w:rsidP="00605EBD">
      <w:pPr>
        <w:spacing w:after="0" w:line="240" w:lineRule="auto"/>
        <w:jc w:val="both"/>
        <w:rPr>
          <w:rFonts w:ascii="Times New Roman" w:hAnsi="Times New Roman" w:cs="Times New Roman"/>
          <w:sz w:val="24"/>
          <w:szCs w:val="24"/>
        </w:rPr>
      </w:pPr>
    </w:p>
    <w:p w14:paraId="7B6E80BD" w14:textId="77777777" w:rsidR="00605EBD" w:rsidRPr="009E1888" w:rsidRDefault="00605EBD" w:rsidP="00605EBD">
      <w:pPr>
        <w:spacing w:after="0" w:line="240" w:lineRule="auto"/>
        <w:jc w:val="both"/>
        <w:rPr>
          <w:rFonts w:ascii="Times New Roman" w:hAnsi="Times New Roman" w:cs="Times New Roman"/>
          <w:sz w:val="24"/>
          <w:szCs w:val="24"/>
        </w:rPr>
      </w:pPr>
      <w:r>
        <w:rPr>
          <w:noProof/>
        </w:rPr>
        <w:drawing>
          <wp:inline distT="0" distB="0" distL="0" distR="0" wp14:anchorId="3864DD4E" wp14:editId="108AD161">
            <wp:extent cx="5943600" cy="2978150"/>
            <wp:effectExtent l="0" t="0" r="0" b="0"/>
            <wp:docPr id="68" name="Content Placeholder 67" descr="A group of graphs on a white background&#10;&#10;AI-generated content may be incorrect.">
              <a:extLst xmlns:a="http://schemas.openxmlformats.org/drawingml/2006/main">
                <a:ext uri="{FF2B5EF4-FFF2-40B4-BE49-F238E27FC236}">
                  <a16:creationId xmlns:a16="http://schemas.microsoft.com/office/drawing/2014/main" id="{F8752EF7-E4AE-E7AE-4999-A114E95E98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8" name="Content Placeholder 67" descr="A group of graphs on a white background&#10;&#10;AI-generated content may be incorrect.">
                      <a:extLst>
                        <a:ext uri="{FF2B5EF4-FFF2-40B4-BE49-F238E27FC236}">
                          <a16:creationId xmlns:a16="http://schemas.microsoft.com/office/drawing/2014/main" id="{F8752EF7-E4AE-E7AE-4999-A114E95E989D}"/>
                        </a:ext>
                      </a:extLst>
                    </pic:cNvPr>
                    <pic:cNvPicPr>
                      <a:picLocks noGrp="1" noChangeAspect="1"/>
                    </pic:cNvPicPr>
                  </pic:nvPicPr>
                  <pic:blipFill>
                    <a:blip r:embed="rId32"/>
                    <a:stretch>
                      <a:fillRect/>
                    </a:stretch>
                  </pic:blipFill>
                  <pic:spPr>
                    <a:xfrm>
                      <a:off x="0" y="0"/>
                      <a:ext cx="5943600" cy="2978150"/>
                    </a:xfrm>
                    <a:prstGeom prst="rect">
                      <a:avLst/>
                    </a:prstGeom>
                  </pic:spPr>
                </pic:pic>
              </a:graphicData>
            </a:graphic>
          </wp:inline>
        </w:drawing>
      </w:r>
      <w:r w:rsidRPr="009E1888">
        <w:rPr>
          <w:rFonts w:ascii="Times New Roman" w:eastAsia="Times New Roman" w:hAnsi="Times New Roman" w:cs="Times New Roman"/>
          <w:sz w:val="24"/>
          <w:szCs w:val="24"/>
        </w:rPr>
        <w:t xml:space="preserve"> Figure 7: Principal component and eigenvector component analysis reveal that rutin, isoquercetin, and ellagic acid differentially modulate conformational Flexibility in target PD proteins. 7a: 2D projection along eigenvectors 1 and 3, 7b:</w:t>
      </w:r>
      <w:r w:rsidRPr="009E1888">
        <w:rPr>
          <w:rFonts w:ascii="Times New Roman" w:eastAsia="Times New Roman" w:hAnsi="Times New Roman" w:cs="Times New Roman"/>
          <w:b/>
          <w:bCs/>
          <w:sz w:val="24"/>
          <w:szCs w:val="24"/>
        </w:rPr>
        <w:t xml:space="preserve"> </w:t>
      </w:r>
      <w:r w:rsidRPr="009E1888">
        <w:rPr>
          <w:rFonts w:ascii="Times New Roman" w:eastAsia="Times New Roman" w:hAnsi="Times New Roman" w:cs="Times New Roman"/>
          <w:sz w:val="24"/>
          <w:szCs w:val="24"/>
        </w:rPr>
        <w:t>Eigenvalue Distribution.</w:t>
      </w:r>
      <w:r w:rsidRPr="009E1888">
        <w:rPr>
          <w:rFonts w:ascii="Times New Roman" w:hAnsi="Times New Roman" w:cs="Times New Roman"/>
          <w:sz w:val="24"/>
          <w:szCs w:val="24"/>
        </w:rPr>
        <w:t xml:space="preserve"> AKT1-isoquercetin(I), EGFR-quercetin/rutin (II), ESR-rutin (III), SRC-ellagic acid/rutin (IV), TP53-rutin(V)</w:t>
      </w:r>
    </w:p>
    <w:p w14:paraId="594DBD22"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rPr>
      </w:pPr>
    </w:p>
    <w:p w14:paraId="165D9F8A"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rPr>
      </w:pPr>
      <w:r w:rsidRPr="009E1888">
        <w:rPr>
          <w:rFonts w:ascii="Times New Roman" w:hAnsi="Times New Roman" w:cs="Times New Roman"/>
          <w:b/>
          <w:color w:val="000000" w:themeColor="text1"/>
          <w:sz w:val="24"/>
          <w:szCs w:val="24"/>
        </w:rPr>
        <w:t xml:space="preserve">Discussion </w:t>
      </w:r>
    </w:p>
    <w:p w14:paraId="20BE30F9" w14:textId="5499C123"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Parkinson’s disease is the second most prevalent neurodegenerative disorder after Alzheimer’s disease, with approximately 6 million cases reported each year, with a mean age of 52-70 years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&lt;EndNote&gt;&lt;Cite&gt;&lt;Author&gt;Muangpaisan&lt;/Author&gt;&lt;Year&gt;2011&lt;/Year&gt;&lt;RecNum&gt;142&lt;/RecNum&gt;&lt;DisplayText&gt;&lt;style face="superscript"&gt;1, 31&lt;/style&gt;&lt;/DisplayText&gt;&lt;record&gt;&lt;rec-number&gt;142&lt;/rec-number&gt;&lt;foreign-keys&gt;&lt;key app="EN" db-id="df0p2xfske5tetew9t8vxfreatd9we2w259x" timestamp="1719141599"&gt;142&lt;/key&gt;&lt;/foreign-keys&gt;&lt;ref-type name="Journal Article"&gt;17&lt;/ref-type&gt;&lt;contributors&gt;&lt;authors&gt;&lt;author&gt;Muangpaisan, W., Mathews, A., Hori, H., &amp;amp; Seidel, D.&lt;/author&gt;&lt;/authors&gt;&lt;/contributors&gt;&lt;titles&gt;&lt;title&gt;A Systematic Review of the Worldwide Prevalence and Incidence of Parkinson’s Disease&lt;/title&gt;&lt;/titles&gt;&lt;volume&gt;94&lt;/volume&gt;&lt;number&gt;6&lt;/number&gt;&lt;dates&gt;&lt;year&gt;2011&lt;/year&gt;&lt;/dates&gt;&lt;urls&gt;&lt;/urls&gt;&lt;/record&gt;&lt;/Cite&gt;&lt;Cite&gt;&lt;Author&gt;Ye&lt;/Author&gt;&lt;Year&gt;2023&lt;/Year&gt;&lt;RecNum&gt;124&lt;/RecNum&gt;&lt;record&gt;&lt;rec-number&gt;124&lt;/rec-number&gt;&lt;foreign-keys&gt;&lt;key app="EN" db-id="df0p2xfske5tetew9t8vxfreatd9we2w259x" timestamp="1719114641"&gt;124&lt;/key&gt;&lt;/foreign-keys&gt;&lt;ref-type name="Journal Article"&gt;17&lt;/ref-type&gt;&lt;contributors&gt;&lt;authors&gt;&lt;author&gt;Ye, Hui&lt;/author&gt;&lt;author&gt;Robak, Laurie A.&lt;/author&gt;&lt;author&gt;Yu, Meigen&lt;/author&gt;&lt;author&gt;Cykowski, Matthew&lt;/author&gt;&lt;author&gt;Shulman, Joshua M.&lt;/author&gt;&lt;/authors&gt;&lt;/contributors&gt;&lt;titles&gt;&lt;title&gt;Genetics and Pathogenesis of Parkinson&amp;apos;s Syndrome&lt;/title&gt;&lt;secondary-title&gt;Annual Review of Pathology: Mechanisms of Disease&lt;/secondary-title&gt;&lt;/titles&gt;&lt;periodical&gt;&lt;full-title&gt;Annual Review of Pathology: Mechanisms of Disease&lt;/full-title&gt;&lt;/periodical&gt;&lt;pages&gt;95-121&lt;/pages&gt;&lt;volume&gt;18&lt;/volume&gt;&lt;number&gt;1&lt;/number&gt;&lt;dates&gt;&lt;year&gt;2023&lt;/year&gt;&lt;/dates&gt;&lt;publisher&gt;Annual Reviews&lt;/publisher&gt;&lt;isbn&gt;1553-4006&lt;/isbn&gt;&lt;urls&gt;&lt;related-urls&gt;&lt;url&gt;https://dx.doi.org/10.1146/annurev-pathmechdis-031521-034145&lt;/url&gt;&lt;/related-urls&gt;&lt;/urls&gt;&lt;electronic-resource-num&gt;10.1146/annurev-pathmechdis-031521-034145&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1, 31</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The considerable morbidity caused by PD and the lack of reliable therapeutic options underscore the necessity of identifying efficient treatment approaches. Research has shown that crude and fractions of A. Africana leaf extract possesses neuroprotective properties specifically in treating PD </w:t>
      </w:r>
      <w:r w:rsidRPr="009E1888">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ADDIN EN.CITE &lt;EndNote&gt;&lt;Cite&gt;&lt;Author&gt;Adewunmi&lt;/Author&gt;&lt;Year&gt;2018&lt;/Year&gt;&lt;RecNum&gt;141&lt;/RecNum&gt;&lt;DisplayText&gt;&lt;style face="superscript"&gt;7&lt;/style&gt;&lt;/DisplayText&gt;&lt;record&gt;&lt;rec-number&gt;141&lt;/rec-number&gt;&lt;foreign-keys&gt;&lt;key app="EN" db-id="df0p2xfske5tetew9t8vxfreatd9we2w259x" timestamp="1719140201"&gt;141&lt;/key&gt;&lt;/foreign-keys&gt;&lt;ref-type name="Journal Article"&gt;17&lt;/ref-type&gt;&lt;contributors&gt;&lt;authors&gt;&lt;author&gt;Adewunmi, Rofiat&lt;/author&gt;&lt;author&gt;Ilesanmi, Omotayo&lt;/author&gt;&lt;author&gt;Crown, Olamide&lt;/author&gt;&lt;author&gt;Komolafe, Kayode&lt;/author&gt;&lt;author&gt;Akinmoladun, Afolabi&lt;/author&gt;&lt;author&gt;Olaleye, Tolulope&lt;/author&gt;&lt;author&gt;Akindahunsi, Akintunde&lt;/author&gt;&lt;/authors&gt;&lt;/contributors&gt;&lt;titles&gt;&lt;title&gt;Attenuation of KCN-induced Neurotoxicity by Solvent Fractions of Antiaris africana Leaf&lt;/title&gt;&lt;secondary-title&gt;European Journal of Medicinal Plants&lt;/secondary-title&gt;&lt;/titles&gt;&lt;periodical&gt;&lt;full-title&gt;European Journal of Medicinal Plants&lt;/full-title&gt;&lt;/periodical&gt;&lt;pages&gt;1-11&lt;/pages&gt;&lt;volume&gt;23&lt;/volume&gt;&lt;number&gt;2&lt;/number&gt;&lt;dates&gt;&lt;year&gt;2018&lt;/year&gt;&lt;/dates&gt;&lt;publisher&gt;Sciencedomain International&lt;/publisher&gt;&lt;isbn&gt;2231-0894&lt;/isbn&gt;&lt;urls&gt;&lt;related-urls&gt;&lt;url&gt;https://dx.doi.org/10.9734/ejmp/2018/41054&lt;/url&gt;&lt;/related-urls&gt;&lt;/urls&gt;&lt;electronic-resource-num&gt;10.9734/ejmp/2018/41054&lt;/electronic-resource-num&gt;&lt;/record&gt;&lt;/Cite&gt;&lt;/EndNote&gt;</w:instrText>
      </w:r>
      <w:r w:rsidRPr="009E1888">
        <w:rPr>
          <w:rFonts w:ascii="Times New Roman" w:hAnsi="Times New Roman" w:cs="Times New Roman"/>
          <w:color w:val="000000" w:themeColor="text1"/>
          <w:sz w:val="24"/>
          <w:szCs w:val="24"/>
        </w:rPr>
        <w:fldChar w:fldCharType="separate"/>
      </w:r>
      <w:r w:rsidRPr="00677302">
        <w:rPr>
          <w:rFonts w:ascii="Times New Roman" w:hAnsi="Times New Roman" w:cs="Times New Roman"/>
          <w:noProof/>
          <w:color w:val="000000" w:themeColor="text1"/>
          <w:sz w:val="24"/>
          <w:szCs w:val="24"/>
          <w:vertAlign w:val="superscript"/>
        </w:rPr>
        <w:t>7</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However, the underlying molecular mechanism remains elusive. This study aims to predict the key targets and pathways through which </w:t>
      </w:r>
      <w:r w:rsidRPr="009E1888">
        <w:rPr>
          <w:rFonts w:ascii="Times New Roman" w:hAnsi="Times New Roman" w:cs="Times New Roman"/>
          <w:i/>
          <w:color w:val="000000" w:themeColor="text1"/>
          <w:sz w:val="24"/>
          <w:szCs w:val="24"/>
        </w:rPr>
        <w:t>A. africana</w:t>
      </w:r>
      <w:r w:rsidRPr="009E1888">
        <w:rPr>
          <w:rFonts w:ascii="Times New Roman" w:hAnsi="Times New Roman" w:cs="Times New Roman"/>
          <w:color w:val="000000" w:themeColor="text1"/>
          <w:sz w:val="24"/>
          <w:szCs w:val="24"/>
        </w:rPr>
        <w:t xml:space="preserve"> exerts its neuroprotective effect in PD.</w:t>
      </w:r>
    </w:p>
    <w:p w14:paraId="3B699101"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p>
    <w:p w14:paraId="5BECB751" w14:textId="464796FD"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The in-silico analysis revealed APP as a target for caffeic acid and catechin, suggesting that caffeic acid and catechin could potentially to modulate amyloidogenic processing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&lt;EndNote&gt;&lt;Cite&gt;&lt;Author&gt;Lim&lt;/Author&gt;&lt;Year&gt;2018&lt;/Year&gt;&lt;RecNum&gt;116&lt;/RecNum&gt;&lt;DisplayText&gt;&lt;style face="superscript"&gt;32&lt;/style&gt;&lt;/DisplayText&gt;&lt;record&gt;&lt;rec-number&gt;116&lt;/rec-number&gt;&lt;foreign-keys&gt;&lt;key app="EN" db-id="df0p2xfske5tetew9t8vxfreatd9we2w259x" timestamp="1718847853"&gt;116&lt;/key&gt;&lt;/foreign-keys&gt;&lt;ref-type name="Journal Article"&gt;17&lt;/ref-type&gt;&lt;contributors&gt;&lt;authors&gt;&lt;author&gt;Lim, E. W., Aarsland, D., Ffytche, D., Taddei, R. N., van Wamelen, D. J., Wan, Y.-M., Tan, E. K., &amp;amp; Chaudhuri, K. R&lt;/author&gt;&lt;/authors&gt;&lt;/contributors&gt;&lt;titles&gt;&lt;title&gt;&lt;style face="normal" font="default" size="100%"&gt;Amyloid-&lt;/style&gt;&lt;style face="normal" font="default" charset="161" size="100%"&gt;β and Parkinson’s disease&lt;/style&gt;&lt;/title&gt;&lt;/titles&gt;&lt;dates&gt;&lt;year&gt;2018&lt;/year&gt;&lt;/dates&gt;&lt;urls&gt;&lt;/urls&gt;&lt;electronic-resource-num&gt;http://doi.org/10.1007/s00415-018-9100-8&lt;/electronic-resource-num&gt;&lt;/record&gt;&lt;/Cite&gt;&lt;/EndNote&gt;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32</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Chlorogenic and gallic acids bind to CASP3 as a protective mechanism against the pathology of PD. Our  KEGG analysis revealed that CASP3 is involved in neurodegeneration pathways.Studies have shown that the Parkin protein, crucial in Parkinson's disease pathology, can be cleaved by caspase-3. This cleavage may disrupt Parkin's function, potentially worsening neuronal death in PD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&lt;EndNote&gt;&lt;Cite&gt;&lt;Author&gt;D&amp;apos;Amelio&lt;/Author&gt;&lt;Year&gt;2010&lt;/Year&gt;&lt;RecNum&gt;129&lt;/RecNum&gt;&lt;DisplayText&gt;&lt;style face="superscript"&gt;33&lt;/style&gt;&lt;/DisplayText&gt;&lt;record&gt;&lt;rec-number&gt;129&lt;/rec-number&gt;&lt;foreign-keys&gt;&lt;key app="EN" db-id="df0p2xfske5tetew9t8vxfreatd9we2w259x" timestamp="1719115595"&gt;129&lt;/key&gt;&lt;/foreign-keys&gt;&lt;ref-type name="Journal Article"&gt;17&lt;/ref-type&gt;&lt;contributors&gt;&lt;authors&gt;&lt;author&gt;D&amp;apos;Amelio, M.&lt;/author&gt;&lt;author&gt;Cavallucci, V.&lt;/author&gt;&lt;author&gt;Cecconi, F.&lt;/author&gt;&lt;/authors&gt;&lt;/contributors&gt;&lt;titles&gt;&lt;title&gt;Neuronal caspase-3 signaling: not only cell death&lt;/title&gt;&lt;secondary-title&gt;Cell Death &amp;amp;amp; Differentiation&lt;/secondary-title&gt;&lt;/titles&gt;&lt;periodical&gt;&lt;full-title&gt;Cell Death &amp;amp;amp; Differentiation&lt;/full-title&gt;&lt;/periodical&gt;&lt;pages&gt;1104-1114&lt;/pages&gt;&lt;volume&gt;17&lt;/volume&gt;&lt;number&gt;7&lt;/number&gt;&lt;dates&gt;&lt;year&gt;2010&lt;/year&gt;&lt;/dates&gt;&lt;publisher&gt;Springer Science and Business Media LLC&lt;/publisher&gt;&lt;isbn&gt;1350-9047&lt;/isbn&gt;&lt;urls&gt;&lt;related-urls&gt;&lt;url&gt;https://dx.doi.org/10.1038/cdd.2009.180&lt;/url&gt;&lt;/related-urls&gt;&lt;/urls&gt;&lt;electronic-resource-num&gt;10.1038/cdd.2009.180&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33</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Inhibiting the over-expression of CASP3 in PD patients with </w:t>
      </w:r>
      <w:r w:rsidRPr="009E1888">
        <w:rPr>
          <w:rFonts w:ascii="Times New Roman" w:hAnsi="Times New Roman" w:cs="Times New Roman"/>
          <w:i/>
          <w:color w:val="000000" w:themeColor="text1"/>
          <w:sz w:val="24"/>
          <w:szCs w:val="24"/>
        </w:rPr>
        <w:t>A. africana</w:t>
      </w:r>
      <w:r w:rsidRPr="009E1888">
        <w:rPr>
          <w:rFonts w:ascii="Times New Roman" w:hAnsi="Times New Roman" w:cs="Times New Roman"/>
          <w:color w:val="000000" w:themeColor="text1"/>
          <w:sz w:val="24"/>
          <w:szCs w:val="24"/>
        </w:rPr>
        <w:t xml:space="preserve"> may be attributed to the neuroprotective effect of this plant. Also, Isoquercitrin showed a strong binding to AKT. AKT1 is involved in signaling pathways that regulate cell survival and apoptosis, indicating that Isoquercitrin may exert neuroprotective effects by modulating these pathways. Additionally, evidence has shown the involvement of the AKT1 pathway in autophagy-induced neuronal protection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&lt;EndNote&gt;&lt;Cite&gt;&lt;Author&gt;Zhang&lt;/Author&gt;&lt;Year&gt;2019&lt;/Year&gt;&lt;RecNum&gt;151&lt;/RecNum&gt;&lt;DisplayText&gt;&lt;style face="superscript"&gt;34&lt;/style&gt;&lt;/DisplayText&gt;&lt;record&gt;&lt;rec-number&gt;151&lt;/rec-number&gt;&lt;foreign-keys&gt;&lt;key app="EN" db-id="df0p2xfske5tetew9t8vxfreatd9we2w259x" timestamp="1719320235"&gt;151&lt;/key&gt;&lt;/foreign-keys&gt;&lt;ref-type name="Journal Article"&gt;17&lt;/ref-type&gt;&lt;contributors&gt;&lt;authors&gt;&lt;author&gt;Zhang, Yu&lt;/author&gt;&lt;author&gt;Guo, Hui&lt;/author&gt;&lt;author&gt;Guo, Xinyu&lt;/author&gt;&lt;author&gt;Ge, Denfeng&lt;/author&gt;&lt;author&gt;Shi, Yue&lt;/author&gt;&lt;author&gt;Lu, Xiyu&lt;/author&gt;&lt;author&gt;Lu, Jinli&lt;/author&gt;&lt;author&gt;Chen, Juan&lt;/author&gt;&lt;author&gt;Ding, Fei&lt;/author&gt;&lt;author&gt;Zhang, Qi&lt;/author&gt;&lt;/authors&gt;&lt;/contributors&gt;&lt;titles&gt;&lt;title&gt;Involvement of Akt/mTOR in the Neurotoxicity of Rotenone-Induced Parkinson’s Disease Models&lt;/title&gt;&lt;secondary-title&gt;International Journal of Environmental Research and Public Health&lt;/secondary-title&gt;&lt;/titles&gt;&lt;periodical&gt;&lt;full-title&gt;International Journal of Environmental Research and Public Health&lt;/full-title&gt;&lt;/periodical&gt;&lt;pages&gt;3811&lt;/pages&gt;&lt;volume&gt;16&lt;/volume&gt;&lt;number&gt;20&lt;/number&gt;&lt;dates&gt;&lt;year&gt;2019&lt;/year&gt;&lt;/dates&gt;&lt;publisher&gt;MDPI AG&lt;/publisher&gt;&lt;isbn&gt;1660-4601&lt;/isbn&gt;&lt;urls&gt;&lt;related-urls&gt;&lt;url&gt;https://dx.doi.org/10.3390/ijerph16203811&lt;/url&gt;&lt;/related-urls&gt;&lt;/urls&gt;&lt;electronic-resource-num&gt;10.3390/ijerph16203811&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34</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w:t>
      </w:r>
    </w:p>
    <w:p w14:paraId="2341841B" w14:textId="08FA2F93"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164924">
        <w:rPr>
          <w:rFonts w:ascii="Times New Roman" w:hAnsi="Times New Roman" w:cs="Times New Roman"/>
          <w:color w:val="000000" w:themeColor="text1"/>
          <w:sz w:val="24"/>
          <w:szCs w:val="24"/>
        </w:rPr>
        <w:t xml:space="preserve">Compounds such as caffeic acid, ellagic acid, kaempferol, and rutin were found to interact with ESR1 and EGFR. </w:t>
      </w:r>
      <w:r w:rsidRPr="009E1888">
        <w:rPr>
          <w:rFonts w:ascii="Times New Roman" w:hAnsi="Times New Roman" w:cs="Times New Roman"/>
          <w:color w:val="000000" w:themeColor="text1"/>
          <w:sz w:val="24"/>
          <w:szCs w:val="24"/>
        </w:rPr>
        <w:t xml:space="preserve">ESR1 functions as the estrogen-binding receptor, whose downstream effect protects nigrostriatal pathways and guards against oxidative stress </w:t>
      </w:r>
      <w:r w:rsidRPr="009E1888">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&lt;EndNote&gt;&lt;Cite&gt;&lt;Author&gt;Sundermann&lt;/Author&gt;&lt;Year&gt;2010&lt;/Year&gt;&lt;RecNum&gt;145&lt;/RecNum&gt;&lt;DisplayText&gt;&lt;style face="superscript"&gt;35&lt;/style&gt;&lt;/DisplayText&gt;&lt;record&gt;&lt;rec-number&gt;145&lt;/rec-number&gt;&lt;foreign-keys&gt;&lt;key app="EN" db-id="df0p2xfske5tetew9t8vxfreatd9we2w259x" timestamp="1719148433"&gt;145&lt;/key&gt;&lt;/foreign-keys&gt;&lt;ref-type name="Journal Article"&gt;17&lt;/ref-type&gt;&lt;contributors&gt;&lt;authors&gt;&lt;author&gt;Sundermann, Erin E.&lt;/author&gt;&lt;author&gt;Maki, Pauline M.&lt;/author&gt;&lt;author&gt;Bishop, Jeffrey R.&lt;/author&gt;&lt;/authors&gt;&lt;/contributors&gt;&lt;titles&gt;&lt;title&gt;A review of estrogen receptor α gene (ESR1) polymorphisms, mood, and cognition&lt;/title&gt;&lt;secondary-title&gt;Menopause&lt;/secondary-title&gt;&lt;/titles&gt;&lt;periodical&gt;&lt;full-title&gt;Menopause&lt;/full-title&gt;&lt;/periodical&gt;&lt;pages&gt;874-886&lt;/pages&gt;&lt;volume&gt;17&lt;/volume&gt;&lt;number&gt;4&lt;/number&gt;&lt;dates&gt;&lt;year&gt;2010&lt;/year&gt;&lt;/dates&gt;&lt;publisher&gt;Ovid Technologies (Wolters Kluwer Health)&lt;/publisher&gt;&lt;isbn&gt;1072-3714&lt;/isbn&gt;&lt;urls&gt;&lt;related-urls&gt;&lt;url&gt;https://dx.doi.org/10.1097/gme.0b013e3181df4a19&lt;/url&gt;&lt;/related-urls&gt;&lt;/urls&gt;&lt;electronic-resource-num&gt;10.1097/gme.0b013e3181df4a19&lt;/electronic-resource-num&gt;&lt;/record&gt;&lt;/Cite&gt;&lt;/EndNote&gt;</w:instrText>
      </w:r>
      <w:r w:rsidRPr="009E1888">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35</w:t>
      </w:r>
      <w:r w:rsidRPr="009E1888">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whereas EGFR is a transmembrane protein that is activated by the binding of ligands such as EGF and TGF-a. EGFR activation triggers conformational changes leading to dimerization and autophosphorylation, which initiates key signaling pathways such as Ras-MEK-ERK, JAK-STAT, PI3K-Akt that regulate cell survival, proliferation, and differentiation. These pathways are vital for dopaminergic neuron health and are often dysregulated in PD. Loss of EGFR function contributes to neuroinflammation and dopaminergic neuron degeneration. Early PD shows reduced plasma EGF levels, while advanced PD shows elevated EGF, indicating disrupted EGFR signaling. This dysregulation promotes chronic neuroinflammation through the JAK/STAT pathway, increasing oxidative stress, alpha-synuclein aggregation, and glial cell activation, ultimately leading to neuronal loss</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&lt;EndNote&gt;&lt;Cite&gt;&lt;Author&gt;Jin&lt;/Author&gt;&lt;Year&gt;2020&lt;/Year&gt;&lt;RecNum&gt;121&lt;/RecNum&gt;&lt;DisplayText&gt;&lt;style face="superscript"&gt;36&lt;/style&gt;&lt;/DisplayText&gt;&lt;record&gt;&lt;rec-number&gt;121&lt;/rec-number&gt;&lt;foreign-keys&gt;&lt;key app="EN" db-id="df0p2xfske5tetew9t8vxfreatd9we2w259x" timestamp="1718948315"&gt;121&lt;/key&gt;&lt;/foreign-keys&gt;&lt;ref-type name="Journal Article"&gt;17&lt;/ref-type&gt;&lt;contributors&gt;&lt;authors&gt;&lt;author&gt;Jin, J.&lt;/author&gt;&lt;author&gt;Xue, L.&lt;/author&gt;&lt;author&gt;Bai, X.&lt;/author&gt;&lt;author&gt;Zhang, X.&lt;/author&gt;&lt;author&gt;Tian, Q.&lt;/author&gt;&lt;author&gt;Xie, A.&lt;/author&gt;&lt;/authors&gt;&lt;/contributors&gt;&lt;titles&gt;&lt;title&gt;Association between epidermal growth factor receptor gene polymorphisms and susceptibility to Parkinson&amp;apos;s disease&lt;/title&gt;&lt;secondary-title&gt;Neurosci Lett&lt;/secondary-title&gt;&lt;/titles&gt;&lt;periodical&gt;&lt;full-title&gt;Neurosci Lett&lt;/full-title&gt;&lt;/periodical&gt;&lt;pages&gt;135273&lt;/pages&gt;&lt;volume&gt;736&lt;/volume&gt;&lt;edition&gt;20200724&lt;/edition&gt;&lt;keywords&gt;&lt;keyword&gt;Age of Onset&lt;/keyword&gt;&lt;keyword&gt;Aged&lt;/keyword&gt;&lt;keyword&gt;Alleles&lt;/keyword&gt;&lt;keyword&gt;Case-Control Studies&lt;/keyword&gt;&lt;keyword&gt;ErbB Receptors/*genetics&lt;/keyword&gt;&lt;keyword&gt;Female&lt;/keyword&gt;&lt;keyword&gt;Gene Frequency&lt;/keyword&gt;&lt;keyword&gt;Genetic Association Studies&lt;/keyword&gt;&lt;keyword&gt;*Genetic Predisposition to Disease&lt;/keyword&gt;&lt;keyword&gt;*Genotype&lt;/keyword&gt;&lt;keyword&gt;Haplotypes&lt;/keyword&gt;&lt;keyword&gt;Humans&lt;/keyword&gt;&lt;keyword&gt;Male&lt;/keyword&gt;&lt;keyword&gt;Middle Aged&lt;/keyword&gt;&lt;keyword&gt;Parkinson Disease/*genetics&lt;/keyword&gt;&lt;keyword&gt;*Polymorphism, Single Nucleotide&lt;/keyword&gt;&lt;keyword&gt;Egfr&lt;/keyword&gt;&lt;keyword&gt;Pcr-rflp&lt;/keyword&gt;&lt;keyword&gt;Parkinson&amp;apos;s disease&lt;/keyword&gt;&lt;keyword&gt;Polymorphism&lt;/keyword&gt;&lt;/keywords&gt;&lt;dates&gt;&lt;year&gt;2020&lt;/year&gt;&lt;pub-dates&gt;&lt;date&gt;Sep 25&lt;/date&gt;&lt;/pub-dates&gt;&lt;/dates&gt;&lt;isbn&gt;1872-7972 (Electronic)&amp;#xD;0304-3940 (Linking)&lt;/isbn&gt;&lt;accession-num&gt;32712352&lt;/accession-num&gt;&lt;urls&gt;&lt;related-urls&gt;&lt;url&gt;https://www.ncbi.nlm.nih.gov/pubmed/32712352&lt;/url&gt;&lt;/related-urls&gt;&lt;/urls&gt;&lt;electronic-resource-num&gt;10.1016/j.neulet.2020.135273&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36</w:t>
      </w:r>
      <w:r>
        <w:rPr>
          <w:rFonts w:ascii="Times New Roman" w:hAnsi="Times New Roman" w:cs="Times New Roman"/>
          <w:color w:val="000000" w:themeColor="text1"/>
          <w:sz w:val="24"/>
          <w:szCs w:val="24"/>
        </w:rPr>
        <w:fldChar w:fldCharType="end"/>
      </w:r>
      <w:r w:rsidRPr="00192828">
        <w:rPr>
          <w:rFonts w:ascii="Times New Roman" w:hAnsi="Times New Roman" w:cs="Times New Roman"/>
          <w:color w:val="000000" w:themeColor="text1"/>
          <w:sz w:val="24"/>
          <w:szCs w:val="24"/>
        </w:rPr>
        <w:t>.</w:t>
      </w:r>
      <w:r w:rsidRPr="009E1888">
        <w:rPr>
          <w:rFonts w:ascii="Times New Roman" w:hAnsi="Times New Roman" w:cs="Times New Roman"/>
          <w:color w:val="000000" w:themeColor="text1"/>
          <w:sz w:val="24"/>
          <w:szCs w:val="24"/>
        </w:rPr>
        <w:t xml:space="preserve"> These findings suggest a multi-target mode of action involving modulation of kinase activity, inhibition of apoptosis, and attenuation of neuroinflammatory signaling. However, while the docking data provided important clues about target engagement, it remained unclear how these interactions translate into structural and functional modulation of the proteins involved. To address this, we employed molecular dynamics simulations to investigate how rutin, isoquercetin, and ellagic acid influence the stability, flexibility, and conformational behavior of these key protein targets, providing mechanistic insights into their potential neuroprotective effects.</w:t>
      </w:r>
    </w:p>
    <w:p w14:paraId="2375C5F2"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p>
    <w:p w14:paraId="783788FC"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The MD simulations reveal that rutin, isoquercetin and ellagic acid consistently reduce backbone fluctuations and compact the structures of key PD‐associated proteins, indicative of ligand‐induced stabilization. In all cases the ligand-bound complexes attain lower RMSD and radius of gyration than the unliganded proteins, and solvent-accessible surface areas drop markedly, reflecting tighter packing of hydrophobic cores. Correspondingly, residue-wise fluctuations (RMSF) are suppressed in loop and terminal regions upon binding. These trends are in line with the general paradigm that ligand engagement “locks” proteins into more rigid, thermodynamically favored conformations. By forming extensive hydrogen-bond and hydrophobic networks, the polyphenols effectively reduce conformational entropy and bolster favorable interactions at the binding interface. For example, rutin forms persistent multi-dentate contacts in TP53, and per-residue energy decomposition shows large stabilizing van der Waals and electrostatic contributions from both ligands and key residues.  The compounds act as structural clamps that damp protein flexibility and favor native-like folds. Conceptually, such stabilization could enhance a protein’s functional efficacy or prevent its misfolding; in the context of PD, this suggests that rutin, isoquercetin and ellagic acid may preserve proper signaling activity and proteostasis of their targets rather than allowing aberrant conformational transitions. </w:t>
      </w:r>
    </w:p>
    <w:p w14:paraId="058F34F8"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p>
    <w:p w14:paraId="61EFC6AA" w14:textId="1F193524"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Mechanistically, the stabilization of these targets carries clear implications for PD pathways. For instance, EGFR is implicated in α-synuclein clearance and neuronal survival – its levels are found to decline in PD patients and genetic variants modulate PD risk</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&lt;EndNote&gt;&lt;Cite&gt;&lt;Author&gt;Huang&lt;/Author&gt;&lt;Year&gt;2025&lt;/Year&gt;&lt;RecNum&gt;187&lt;/RecNum&gt;&lt;DisplayText&gt;&lt;style face="superscript"&gt;37&lt;/style&gt;&lt;/DisplayText&gt;&lt;record&gt;&lt;rec-number&gt;187&lt;/rec-number&gt;&lt;foreign-keys&gt;&lt;key app="EN" db-id="df0p2xfske5tetew9t8vxfreatd9we2w259x" timestamp="1752551633"&gt;187&lt;/key&gt;&lt;/foreign-keys&gt;&lt;ref-type name="Journal Article"&gt;17&lt;/ref-type&gt;&lt;contributors&gt;&lt;authors&gt;&lt;author&gt;Huang, Y. Y., Lin, S. J., Chiang, W. Y., Chang, Y. T., Yang, C. C., Liao, C. Y., Chang, Y. L., Lin, C. H., &amp;amp; Teng, S. C. &lt;/author&gt;&lt;/authors&gt;&lt;/contributors&gt;&lt;titles&gt;&lt;title&gt;&lt;style face="normal" font="default" size="100%"&gt;EGFR phosphorylates DNAJB1 to suppress &lt;/style&gt;&lt;style face="normal" font="default" charset="161" size="100%"&gt;α-synuclein aggregation in Parkinson’s disease&lt;/style&gt;&lt;/title&gt;&lt;secondary-title&gt;Npj Parkinson’s Disease 2025 11:1&lt;/secondary-title&gt;&lt;/titles&gt;&lt;periodical&gt;&lt;full-title&gt;Npj Parkinson’s Disease 2025 11:1&lt;/full-title&gt;&lt;/periodical&gt;&lt;pages&gt;1-16&lt;/pages&gt;&lt;volume&gt;11&lt;/volume&gt;&lt;dates&gt;&lt;year&gt;2025&lt;/year&gt;&lt;/dates&gt;&lt;urls&gt;&lt;/urls&gt;&lt;electronic-resource-num&gt;https://doi.org/10.1038/s41531-025-01006-y&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37</w:t>
      </w:r>
      <w:r>
        <w:rPr>
          <w:rFonts w:ascii="Times New Roman" w:hAnsi="Times New Roman" w:cs="Times New Roman"/>
          <w:color w:val="000000" w:themeColor="text1"/>
          <w:sz w:val="24"/>
          <w:szCs w:val="24"/>
        </w:rPr>
        <w:fldChar w:fldCharType="end"/>
      </w:r>
      <w:r w:rsidRPr="009E1888">
        <w:rPr>
          <w:rFonts w:ascii="Times New Roman" w:hAnsi="Times New Roman" w:cs="Times New Roman"/>
          <w:color w:val="000000" w:themeColor="text1"/>
          <w:sz w:val="24"/>
          <w:szCs w:val="24"/>
        </w:rPr>
        <w:t xml:space="preserve"> </w:t>
      </w:r>
      <w:r w:rsidRPr="009E1888">
        <w:rPr>
          <w:rFonts w:ascii="Times New Roman" w:hAnsi="Times New Roman" w:cs="Times New Roman"/>
          <w:color w:val="000000"/>
          <w:sz w:val="24"/>
          <w:szCs w:val="24"/>
        </w:rPr>
        <w:t>.</w:t>
      </w:r>
      <w:r w:rsidRPr="009E1888">
        <w:rPr>
          <w:rFonts w:ascii="Times New Roman" w:hAnsi="Times New Roman" w:cs="Times New Roman"/>
          <w:sz w:val="24"/>
          <w:szCs w:val="24"/>
        </w:rPr>
        <w:t xml:space="preserve"> </w:t>
      </w:r>
      <w:r w:rsidRPr="009E1888">
        <w:rPr>
          <w:rFonts w:ascii="Times New Roman" w:hAnsi="Times New Roman" w:cs="Times New Roman"/>
          <w:color w:val="000000"/>
          <w:sz w:val="24"/>
          <w:szCs w:val="24"/>
        </w:rPr>
        <w:t>Our MD indicates that rutin (and quercetin) binding rigidifies EGFR’s kinase domain and reduces its solvent exposure. We hypothesize that this could preserve EGFR’s functional conformation and signaling capacity, thereby supporting the chaperone-mediated clearance of misfolded α-synuclein, a process recently linked to EGFR activity</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rPr>
        <w:fldChar w:fldCharType="begin"/>
      </w:r>
      <w:r w:rsidR="000C3006">
        <w:rPr>
          <w:rFonts w:ascii="Times New Roman" w:hAnsi="Times New Roman" w:cs="Times New Roman"/>
          <w:color w:val="000000"/>
          <w:sz w:val="24"/>
          <w:szCs w:val="24"/>
        </w:rPr>
        <w:instrText xml:space="preserve"> ADDIN EN.CITE &lt;EndNote&gt;&lt;Cite&gt;&lt;Author&gt;Huang&lt;/Author&gt;&lt;Year&gt;2025&lt;/Year&gt;&lt;RecNum&gt;187&lt;/RecNum&gt;&lt;DisplayText&gt;&lt;style face="superscript"&gt;37&lt;/style&gt;&lt;/DisplayText&gt;&lt;record&gt;&lt;rec-number&gt;187&lt;/rec-number&gt;&lt;foreign-keys&gt;&lt;key app="EN" db-id="df0p2xfske5tetew9t8vxfreatd9we2w259x" timestamp="1752551633"&gt;187&lt;/key&gt;&lt;/foreign-keys&gt;&lt;ref-type name="Journal Article"&gt;17&lt;/ref-type&gt;&lt;contributors&gt;&lt;authors&gt;&lt;author&gt;Huang, Y. Y., Lin, S. J., Chiang, W. Y., Chang, Y. T., Yang, C. C., Liao, C. Y., Chang, Y. L., Lin, C. H., &amp;amp; Teng, S. C. &lt;/author&gt;&lt;/authors&gt;&lt;/contributors&gt;&lt;titles&gt;&lt;title&gt;&lt;style face="normal" font="default" size="100%"&gt;EGFR phosphorylates DNAJB1 to suppress &lt;/style&gt;&lt;style face="normal" font="default" charset="161" size="100%"&gt;α-synuclein aggregation in Parkinson’s disease&lt;/style&gt;&lt;/title&gt;&lt;secondary-title&gt;Npj Parkinson’s Disease 2025 11:1&lt;/secondary-title&gt;&lt;/titles&gt;&lt;periodical&gt;&lt;full-title&gt;Npj Parkinson’s Disease 2025 11:1&lt;/full-title&gt;&lt;/periodical&gt;&lt;pages&gt;1-16&lt;/pages&gt;&lt;volume&gt;11&lt;/volume&gt;&lt;dates&gt;&lt;year&gt;2025&lt;/year&gt;&lt;/dates&gt;&lt;urls&gt;&lt;/urls&gt;&lt;electronic-resource-num&gt;https://doi.org/10.1038/s41531-025-01006-y&lt;/electronic-resource-num&gt;&lt;/record&gt;&lt;/Cite&gt;&lt;/EndNote&gt;</w:instrText>
      </w:r>
      <w:r>
        <w:rPr>
          <w:rFonts w:ascii="Times New Roman" w:hAnsi="Times New Roman" w:cs="Times New Roman"/>
          <w:color w:val="000000"/>
          <w:sz w:val="24"/>
          <w:szCs w:val="24"/>
        </w:rPr>
        <w:fldChar w:fldCharType="separate"/>
      </w:r>
      <w:r w:rsidR="000C3006" w:rsidRPr="000C3006">
        <w:rPr>
          <w:rFonts w:ascii="Times New Roman" w:hAnsi="Times New Roman" w:cs="Times New Roman"/>
          <w:noProof/>
          <w:color w:val="000000"/>
          <w:sz w:val="24"/>
          <w:szCs w:val="24"/>
          <w:vertAlign w:val="superscript"/>
        </w:rPr>
        <w:t>37</w:t>
      </w:r>
      <w:r>
        <w:rPr>
          <w:rFonts w:ascii="Times New Roman" w:hAnsi="Times New Roman" w:cs="Times New Roman"/>
          <w:color w:val="000000"/>
          <w:sz w:val="24"/>
          <w:szCs w:val="24"/>
        </w:rPr>
        <w:fldChar w:fldCharType="end"/>
      </w:r>
      <w:r w:rsidRPr="009E1888">
        <w:rPr>
          <w:rFonts w:ascii="Times New Roman" w:hAnsi="Times New Roman" w:cs="Times New Roman"/>
          <w:color w:val="000000"/>
          <w:sz w:val="24"/>
          <w:szCs w:val="24"/>
        </w:rPr>
        <w:t>.</w:t>
      </w:r>
      <w:r w:rsidRPr="009E1888">
        <w:rPr>
          <w:rFonts w:ascii="Times New Roman" w:hAnsi="Times New Roman" w:cs="Times New Roman"/>
          <w:sz w:val="24"/>
          <w:szCs w:val="24"/>
        </w:rPr>
        <w:t xml:space="preserve"> </w:t>
      </w:r>
      <w:r w:rsidRPr="009E1888">
        <w:rPr>
          <w:rFonts w:ascii="Times New Roman" w:hAnsi="Times New Roman" w:cs="Times New Roman"/>
          <w:color w:val="000000"/>
          <w:sz w:val="24"/>
          <w:szCs w:val="24"/>
        </w:rPr>
        <w:t>Similarly,</w:t>
      </w:r>
      <w:r>
        <w:rPr>
          <w:rFonts w:ascii="Times New Roman" w:hAnsi="Times New Roman" w:cs="Times New Roman"/>
          <w:color w:val="000000"/>
          <w:sz w:val="24"/>
          <w:szCs w:val="24"/>
        </w:rPr>
        <w:t xml:space="preserve"> </w:t>
      </w:r>
      <w:r w:rsidRPr="009E1888">
        <w:rPr>
          <w:rFonts w:ascii="Times New Roman" w:hAnsi="Times New Roman" w:cs="Times New Roman"/>
          <w:color w:val="000000"/>
          <w:sz w:val="24"/>
          <w:szCs w:val="24"/>
        </w:rPr>
        <w:t>ESR1</w:t>
      </w:r>
      <w:r>
        <w:rPr>
          <w:rFonts w:ascii="Times New Roman" w:hAnsi="Times New Roman" w:cs="Times New Roman"/>
          <w:color w:val="000000"/>
          <w:sz w:val="24"/>
          <w:szCs w:val="24"/>
        </w:rPr>
        <w:t xml:space="preserve"> </w:t>
      </w:r>
      <w:r w:rsidRPr="009E1888">
        <w:rPr>
          <w:rFonts w:ascii="Times New Roman" w:hAnsi="Times New Roman" w:cs="Times New Roman"/>
          <w:color w:val="000000"/>
          <w:sz w:val="24"/>
          <w:szCs w:val="24"/>
        </w:rPr>
        <w:t>emerges as a stabilized target of rutin. Estrogenic signaling is well-known to confer neuroprotection,acting as an antiapoptotic, antioxidant, and trophic modulator. and the more compact ESR1 structure seen in the ESR1–rutin MD suggests enhanced domain cooperativity. We speculate that such ligand-induced rigidity may mimic or augment estrogen-like activation of neuroprotective pathways</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rPr>
        <w:fldChar w:fldCharType="begin"/>
      </w:r>
      <w:r w:rsidR="000C3006">
        <w:rPr>
          <w:rFonts w:ascii="Times New Roman" w:hAnsi="Times New Roman" w:cs="Times New Roman"/>
          <w:color w:val="000000"/>
          <w:sz w:val="24"/>
          <w:szCs w:val="24"/>
        </w:rPr>
        <w:instrText xml:space="preserve"> ADDIN EN.CITE &lt;EndNote&gt;&lt;Cite&gt;&lt;Author&gt;Saunders-Pullman&lt;/Author&gt;&lt;Year&gt;2003&lt;/Year&gt;&lt;RecNum&gt;194&lt;/RecNum&gt;&lt;DisplayText&gt;&lt;style face="superscript"&gt;38&lt;/style&gt;&lt;/DisplayText&gt;&lt;record&gt;&lt;rec-number&gt;194&lt;/rec-number&gt;&lt;foreign-keys&gt;&lt;key app="EN" db-id="df0p2xfske5tetew9t8vxfreatd9we2w259x" timestamp="1752552494"&gt;194&lt;/key&gt;&lt;/foreign-keys&gt;&lt;ref-type name="Journal Article"&gt;17&lt;/ref-type&gt;&lt;contributors&gt;&lt;authors&gt;&lt;author&gt;Saunders-Pullman, R. &lt;/author&gt;&lt;/authors&gt;&lt;/contributors&gt;&lt;titles&gt;&lt;title&gt;Estrogens and Parkinson disease: Neuroprotective, symptomatic, neither, or both? &lt;/title&gt;&lt;secondary-title&gt;Endocrine&lt;/secondary-title&gt;&lt;/titles&gt;&lt;periodical&gt;&lt;full-title&gt;Endocrine&lt;/full-title&gt;&lt;/periodical&gt;&lt;pages&gt;81-87&lt;/pages&gt;&lt;volume&gt;21&lt;/volume&gt;&lt;number&gt;1&lt;/number&gt;&lt;dates&gt;&lt;year&gt;2003&lt;/year&gt;&lt;/dates&gt;&lt;urls&gt;&lt;/urls&gt;&lt;electronic-resource-num&gt; https://doi.org/10.1385/ENDO:21:1:81&lt;/electronic-resource-num&gt;&lt;/record&gt;&lt;/Cite&gt;&lt;/EndNote&gt;</w:instrText>
      </w:r>
      <w:r>
        <w:rPr>
          <w:rFonts w:ascii="Times New Roman" w:hAnsi="Times New Roman" w:cs="Times New Roman"/>
          <w:color w:val="000000"/>
          <w:sz w:val="24"/>
          <w:szCs w:val="24"/>
        </w:rPr>
        <w:fldChar w:fldCharType="separate"/>
      </w:r>
      <w:r w:rsidR="000C3006" w:rsidRPr="000C3006">
        <w:rPr>
          <w:rFonts w:ascii="Times New Roman" w:hAnsi="Times New Roman" w:cs="Times New Roman"/>
          <w:noProof/>
          <w:color w:val="000000"/>
          <w:sz w:val="24"/>
          <w:szCs w:val="24"/>
          <w:vertAlign w:val="superscript"/>
        </w:rPr>
        <w:t>38</w:t>
      </w:r>
      <w:r>
        <w:rPr>
          <w:rFonts w:ascii="Times New Roman" w:hAnsi="Times New Roman" w:cs="Times New Roman"/>
          <w:color w:val="000000"/>
          <w:sz w:val="24"/>
          <w:szCs w:val="24"/>
        </w:rPr>
        <w:fldChar w:fldCharType="end"/>
      </w:r>
      <w:r>
        <w:rPr>
          <w:rFonts w:ascii="Times New Roman" w:hAnsi="Times New Roman" w:cs="Times New Roman"/>
          <w:color w:val="000000"/>
          <w:sz w:val="24"/>
          <w:szCs w:val="24"/>
        </w:rPr>
        <w:t xml:space="preserve">. </w:t>
      </w:r>
    </w:p>
    <w:p w14:paraId="46A546EB"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p>
    <w:p w14:paraId="4D9E7312" w14:textId="7EABC8B0" w:rsidR="00605EBD" w:rsidRPr="0027269C" w:rsidRDefault="00605EBD" w:rsidP="00605EBD">
      <w:pPr>
        <w:spacing w:after="0" w:line="240" w:lineRule="auto"/>
        <w:jc w:val="both"/>
        <w:rPr>
          <w:rFonts w:ascii="Times New Roman" w:hAnsi="Times New Roman" w:cs="Times New Roman"/>
          <w:color w:val="000000" w:themeColor="text1"/>
          <w:sz w:val="24"/>
          <w:szCs w:val="24"/>
        </w:rPr>
      </w:pPr>
      <w:r w:rsidRPr="0027269C">
        <w:rPr>
          <w:rFonts w:ascii="Times New Roman" w:hAnsi="Times New Roman" w:cs="Times New Roman"/>
          <w:color w:val="000000" w:themeColor="text1"/>
          <w:sz w:val="24"/>
          <w:szCs w:val="24"/>
        </w:rPr>
        <w:t>In the survival kinase AKT1, isoquercetin binding dampens fluctuations across the protein. The PI3K/AKT pathway is critical for countering oxidative stress and apoptosis in dopaminergic neurons</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&lt;EndNote&gt;&lt;Cite&gt;&lt;Author&gt;Huang&lt;/Author&gt;&lt;Year&gt;2020&lt;/Year&gt;&lt;RecNum&gt;185&lt;/RecNum&gt;&lt;DisplayText&gt;&lt;style face="superscript"&gt;39&lt;/style&gt;&lt;/DisplayText&gt;&lt;record&gt;&lt;rec-number&gt;185&lt;/rec-number&gt;&lt;foreign-keys&gt;&lt;key app="EN" db-id="df0p2xfske5tetew9t8vxfreatd9we2w259x" timestamp="1752550772"&gt;185&lt;/key&gt;&lt;/foreign-keys&gt;&lt;ref-type name="Journal Article"&gt;17&lt;/ref-type&gt;&lt;contributors&gt;&lt;authors&gt;&lt;author&gt;Huang, Y., Sun, L., Zhu, S., Xu, L., Liu, S., Yuan, C., Guo, Y., &amp;amp; Wang, X. &lt;/author&gt;&lt;/authors&gt;&lt;/contributors&gt;&lt;titles&gt;&lt;title&gt;&lt;style face="normal" font="default" size="100%"&gt;Neuroprotection Against Parkinson’s Disease Through the Activation of Akt/GSK3&lt;/style&gt;&lt;style face="normal" font="default" charset="161" size="100%"&gt;β Signaling Pathway by Tovophyllin A&lt;/style&gt;&lt;/title&gt;&lt;secondary-title&gt;Frontiers in Neuroscience&lt;/secondary-title&gt;&lt;/titles&gt;&lt;periodical&gt;&lt;full-title&gt;Frontiers in Neuroscience&lt;/full-title&gt;&lt;/periodical&gt;&lt;pages&gt;723&lt;/pages&gt;&lt;volume&gt;14&lt;/volume&gt;&lt;dates&gt;&lt;year&gt;2020&lt;/year&gt;&lt;/dates&gt;&lt;urls&gt;&lt;/urls&gt;&lt;electronic-resource-num&gt;https://doi.org/10.3389/FNINS.2020.00723&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39</w:t>
      </w:r>
      <w:r>
        <w:rPr>
          <w:rFonts w:ascii="Times New Roman" w:hAnsi="Times New Roman" w:cs="Times New Roman"/>
          <w:color w:val="000000" w:themeColor="text1"/>
          <w:sz w:val="24"/>
          <w:szCs w:val="24"/>
        </w:rPr>
        <w:fldChar w:fldCharType="end"/>
      </w:r>
      <w:r w:rsidRPr="0027269C">
        <w:rPr>
          <w:rFonts w:ascii="Times New Roman" w:hAnsi="Times New Roman" w:cs="Times New Roman"/>
          <w:color w:val="000000" w:themeColor="text1"/>
          <w:sz w:val="24"/>
          <w:szCs w:val="24"/>
        </w:rPr>
        <w:t>, so a ligand that “locks” AKT1 into its active conformation could reinforce downstream prosurvival signaling. Indeed, MD suggests isoquercetin contributes favorable binding energy via contacts at AKT’s allosteric or catalytic sites, potentially promoting stable phosphorylation and activity of AKT1. By contrast, SRC kinase plays a very different role in PD. SRC is a central node driving neuroinflammation: its over-activation in microglia exacerbates dopaminergic loss, whereas pharmacological SRC inhibition alleviates inflammation and rescues neurons in PD models</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&lt;EndNote&gt;&lt;Cite&gt;&lt;Author&gt;Yang&lt;/Author&gt;&lt;Year&gt;2020&lt;/Year&gt;&lt;RecNum&gt;195&lt;/RecNum&gt;&lt;DisplayText&gt;&lt;style face="superscript"&gt;40&lt;/style&gt;&lt;/DisplayText&gt;&lt;record&gt;&lt;rec-number&gt;195&lt;/rec-number&gt;&lt;foreign-keys&gt;&lt;key app="EN" db-id="df0p2xfske5tetew9t8vxfreatd9we2w259x" timestamp="1752552612"&gt;195&lt;/key&gt;&lt;/foreign-keys&gt;&lt;ref-type name="Journal Article"&gt;17&lt;/ref-type&gt;&lt;contributors&gt;&lt;authors&gt;&lt;author&gt;Yang, H., Wang, L., Zang, C., Wang, Y., Shang, J., Zhang, Z., Liu, H., Bao, X., Wang, X., &amp;amp; Zhang, D. &lt;/author&gt;&lt;/authors&gt;&lt;/contributors&gt;&lt;titles&gt;&lt;title&gt;Src Inhibition Attenuates Neuroinflammation and Protects Dopaminergic Neurons in Parkinson’s Disease Models&lt;/title&gt;&lt;secondary-title&gt;Frontiers in Neuroscience&lt;/secondary-title&gt;&lt;/titles&gt;&lt;periodical&gt;&lt;full-title&gt;Frontiers in Neuroscience&lt;/full-title&gt;&lt;/periodical&gt;&lt;pages&gt;45&lt;/pages&gt;&lt;volume&gt;14&lt;/volume&gt;&lt;dates&gt;&lt;year&gt;2020&lt;/year&gt;&lt;/dates&gt;&lt;urls&gt;&lt;/urls&gt;&lt;electronic-resource-num&gt;https://doi.org/10.3389/FNINS.2020.00045/FULL&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40</w:t>
      </w:r>
      <w:r>
        <w:rPr>
          <w:rFonts w:ascii="Times New Roman" w:hAnsi="Times New Roman" w:cs="Times New Roman"/>
          <w:color w:val="000000" w:themeColor="text1"/>
          <w:sz w:val="24"/>
          <w:szCs w:val="24"/>
        </w:rPr>
        <w:fldChar w:fldCharType="end"/>
      </w:r>
      <w:r w:rsidRPr="0027269C">
        <w:rPr>
          <w:rFonts w:ascii="Times New Roman" w:hAnsi="Times New Roman" w:cs="Times New Roman"/>
          <w:color w:val="000000" w:themeColor="text1"/>
          <w:sz w:val="24"/>
          <w:szCs w:val="24"/>
        </w:rPr>
        <w:t>. In research</w:t>
      </w:r>
      <w:r>
        <w:rPr>
          <w:rFonts w:ascii="Times New Roman" w:hAnsi="Times New Roman" w:cs="Times New Roman"/>
          <w:color w:val="000000" w:themeColor="text1"/>
          <w:sz w:val="24"/>
          <w:szCs w:val="24"/>
        </w:rPr>
        <w:t>,</w:t>
      </w:r>
      <w:r w:rsidRPr="0027269C">
        <w:rPr>
          <w:rFonts w:ascii="Times New Roman" w:hAnsi="Times New Roman" w:cs="Times New Roman"/>
          <w:color w:val="000000" w:themeColor="text1"/>
          <w:sz w:val="24"/>
          <w:szCs w:val="24"/>
        </w:rPr>
        <w:t xml:space="preserve"> we showed that ellagic acid and rutin both engage SRC strongly, but the MD-derived positive ΔG for SRC–rutin hints at an unusual mode of binding. We infer that ligand binding might trap SRC in a conformation that prevents aberrant activation. In other words, by locking SRC’s domains, the polyphenols could impede the kinase’s ability to phosphorylate downstream pro-inflammatory targets, effectively acting as indirect SRC inhibitors. This would mirror the protective effect seen when SRC is downregulated in PD models. </w:t>
      </w:r>
      <w:r>
        <w:rPr>
          <w:rFonts w:ascii="Times New Roman" w:hAnsi="Times New Roman" w:cs="Times New Roman"/>
          <w:color w:val="000000" w:themeColor="text1"/>
          <w:sz w:val="24"/>
          <w:szCs w:val="24"/>
        </w:rPr>
        <w:t>These</w:t>
      </w:r>
      <w:r w:rsidRPr="0027269C">
        <w:rPr>
          <w:rFonts w:ascii="Times New Roman" w:hAnsi="Times New Roman" w:cs="Times New Roman"/>
          <w:color w:val="000000" w:themeColor="text1"/>
          <w:sz w:val="24"/>
          <w:szCs w:val="24"/>
        </w:rPr>
        <w:t xml:space="preserve"> findings support the hypothesis that inhibition of SRC kinase could be a therapeutic target for PD and other </w:t>
      </w:r>
      <w:r>
        <w:rPr>
          <w:rFonts w:ascii="Times New Roman" w:hAnsi="Times New Roman" w:cs="Times New Roman"/>
          <w:color w:val="000000" w:themeColor="text1"/>
          <w:sz w:val="24"/>
          <w:szCs w:val="24"/>
        </w:rPr>
        <w:t>neuroinflammatory-related</w:t>
      </w:r>
      <w:r w:rsidRPr="0027269C">
        <w:rPr>
          <w:rFonts w:ascii="Times New Roman" w:hAnsi="Times New Roman" w:cs="Times New Roman"/>
          <w:color w:val="000000" w:themeColor="text1"/>
          <w:sz w:val="24"/>
          <w:szCs w:val="24"/>
        </w:rPr>
        <w:t xml:space="preserve"> diseases</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&lt;EndNote&gt;&lt;Cite&gt;&lt;Author&gt;Yang&lt;/Author&gt;&lt;Year&gt;2020&lt;/Year&gt;&lt;RecNum&gt;195&lt;/RecNum&gt;&lt;DisplayText&gt;&lt;style face="superscript"&gt;40, 41&lt;/style&gt;&lt;/DisplayText&gt;&lt;record&gt;&lt;rec-number&gt;195&lt;/rec-number&gt;&lt;foreign-keys&gt;&lt;key app="EN" db-id="df0p2xfske5tetew9t8vxfreatd9we2w259x" timestamp="1752552612"&gt;195&lt;/key&gt;&lt;/foreign-keys&gt;&lt;ref-type name="Journal Article"&gt;17&lt;/ref-type&gt;&lt;contributors&gt;&lt;authors&gt;&lt;author&gt;Yang, H., Wang, L., Zang, C., Wang, Y., Shang, J., Zhang, Z., Liu, H., Bao, X., Wang, X., &amp;amp; Zhang, D. &lt;/author&gt;&lt;/authors&gt;&lt;/contributors&gt;&lt;titles&gt;&lt;title&gt;Src Inhibition Attenuates Neuroinflammation and Protects Dopaminergic Neurons in Parkinson’s Disease Models&lt;/title&gt;&lt;secondary-title&gt;Frontiers in Neuroscience&lt;/secondary-title&gt;&lt;/titles&gt;&lt;periodical&gt;&lt;full-title&gt;Frontiers in Neuroscience&lt;/full-title&gt;&lt;/periodical&gt;&lt;pages&gt;45&lt;/pages&gt;&lt;volume&gt;14&lt;/volume&gt;&lt;dates&gt;&lt;year&gt;2020&lt;/year&gt;&lt;/dates&gt;&lt;urls&gt;&lt;/urls&gt;&lt;electronic-resource-num&gt;https://doi.org/10.3389/FNINS.2020.00045/FULL&lt;/electronic-resource-num&gt;&lt;/record&gt;&lt;/Cite&gt;&lt;Cite&gt;&lt;Author&gt;Dhawan&lt;/Author&gt;&lt;Year&gt;2012&lt;/Year&gt;&lt;RecNum&gt;184&lt;/RecNum&gt;&lt;record&gt;&lt;rec-number&gt;184&lt;/rec-number&gt;&lt;foreign-keys&gt;&lt;key app="EN" db-id="df0p2xfske5tetew9t8vxfreatd9we2w259x" timestamp="1752550065"&gt;184&lt;/key&gt;&lt;/foreign-keys&gt;&lt;ref-type name="Journal Article"&gt;17&lt;/ref-type&gt;&lt;contributors&gt;&lt;authors&gt;&lt;author&gt;Dhawan, G., &amp;amp; Combs, C. K.  &lt;/author&gt;&lt;/authors&gt;&lt;/contributors&gt;&lt;titles&gt;&lt;title&gt;Inhibition of Src kinase activity attenuates amyloid associated microgliosis in a murine model of Alzheimer’s disease&lt;/title&gt;&lt;secondary-title&gt;Journal of Neuroinflammation&lt;/secondary-title&gt;&lt;/titles&gt;&lt;periodical&gt;&lt;full-title&gt;Journal of Neuroinflammation&lt;/full-title&gt;&lt;/periodical&gt;&lt;volume&gt;9&lt;/volume&gt;&lt;dates&gt;&lt;year&gt;2012&lt;/year&gt;&lt;/dates&gt;&lt;urls&gt;&lt;/urls&gt;&lt;electronic-resource-num&gt;https://doi.org/10.1186/1742-2094-9-117&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40, 41</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p>
    <w:p w14:paraId="52B1613D" w14:textId="77777777" w:rsidR="00605EBD" w:rsidRPr="0027269C" w:rsidRDefault="00605EBD" w:rsidP="00605EBD">
      <w:pPr>
        <w:spacing w:after="0" w:line="240" w:lineRule="auto"/>
        <w:jc w:val="both"/>
        <w:rPr>
          <w:rFonts w:ascii="Times New Roman" w:hAnsi="Times New Roman" w:cs="Times New Roman"/>
          <w:color w:val="000000" w:themeColor="text1"/>
          <w:sz w:val="24"/>
          <w:szCs w:val="24"/>
        </w:rPr>
      </w:pPr>
    </w:p>
    <w:p w14:paraId="79EC49FB" w14:textId="11175034" w:rsidR="00605EBD" w:rsidRDefault="00605EBD" w:rsidP="00605EBD">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Also, </w:t>
      </w:r>
      <w:r w:rsidRPr="0027269C">
        <w:rPr>
          <w:rFonts w:ascii="Times New Roman" w:hAnsi="Times New Roman" w:cs="Times New Roman"/>
          <w:color w:val="000000" w:themeColor="text1"/>
          <w:sz w:val="24"/>
          <w:szCs w:val="24"/>
        </w:rPr>
        <w:t>TP53 is a pro-apoptotic factor that becomes upregulated in stressed dopaminergic neurons, contributing to cell death in PD. Rutin binds TP53 with high affinity and markedly stabilizes its structure in MD. We hypothesize that such stabilization might modulate p53’s transcriptional activity – for example, by favoring a conformation that is less transcriptionally active for apoptotic genes. This concept is supported by prior findings that ellagic acid suppresses neuronal p53 levels and promotes the anti-apoptotic BCL-2</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r>
      <w:r w:rsidR="000C3006">
        <w:rPr>
          <w:rFonts w:ascii="Times New Roman" w:hAnsi="Times New Roman" w:cs="Times New Roman"/>
          <w:color w:val="000000" w:themeColor="text1"/>
          <w:sz w:val="24"/>
          <w:szCs w:val="24"/>
        </w:rPr>
        <w:instrText xml:space="preserve"> ADDIN EN.CITE &lt;EndNote&gt;&lt;Cite&gt;&lt;Author&gt;Ardah&lt;/Author&gt;&lt;Year&gt;2021&lt;/Year&gt;&lt;RecNum&gt;186&lt;/RecNum&gt;&lt;DisplayText&gt;&lt;style face="superscript"&gt;42&lt;/style&gt;&lt;/DisplayText&gt;&lt;record&gt;&lt;rec-number&gt;186&lt;/rec-number&gt;&lt;foreign-keys&gt;&lt;key app="EN" db-id="df0p2xfske5tetew9t8vxfreatd9we2w259x" timestamp="1752550992"&gt;186&lt;/key&gt;&lt;/foreign-keys&gt;&lt;ref-type name="Journal Article"&gt;17&lt;/ref-type&gt;&lt;contributors&gt;&lt;authors&gt;&lt;author&gt;Ardah, M. T., Eid, N., Kitada, T., &amp;amp; Haque, M. E.&lt;/author&gt;&lt;/authors&gt;&lt;/contributors&gt;&lt;titles&gt;&lt;title&gt;&lt;style face="normal" font="default" size="100%"&gt;). Ellagic acid prevents &lt;/style&gt;&lt;style face="normal" font="default" charset="161" size="100%"&gt;α&lt;/style&gt;&lt;style face="normal" font="default" size="100%"&gt;‐synuclein aggregation and protects sh‐sy5y cells from aggregated &lt;/style&gt;&lt;style face="normal" font="default" charset="161" size="100%"&gt;α&lt;/style&gt;&lt;style face="normal" font="default" size="100%"&gt;‐synuclein‐induced toxicity via suppression of apoptosis and activation of autophagy&lt;/style&gt;&lt;/title&gt;&lt;secondary-title&gt;International Journal of Molecular Sciences&lt;/secondary-title&gt;&lt;/titles&gt;&lt;periodical&gt;&lt;full-title&gt;International Journal of Molecular Sciences&lt;/full-title&gt;&lt;/periodical&gt;&lt;volume&gt;22&lt;/volume&gt;&lt;number&gt;24&lt;/number&gt;&lt;dates&gt;&lt;year&gt;2021&lt;/year&gt;&lt;/dates&gt;&lt;urls&gt;&lt;/urls&gt;&lt;electronic-resource-num&gt;https://doi.org/10.3390/IJMS222413398&lt;/electronic-resource-num&gt;&lt;/record&gt;&lt;/Cite&gt;&lt;/EndNote&gt;</w:instrText>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42</w:t>
      </w:r>
      <w:r>
        <w:rPr>
          <w:rFonts w:ascii="Times New Roman" w:hAnsi="Times New Roman" w:cs="Times New Roman"/>
          <w:color w:val="000000" w:themeColor="text1"/>
          <w:sz w:val="24"/>
          <w:szCs w:val="24"/>
        </w:rPr>
        <w:fldChar w:fldCharType="end"/>
      </w:r>
      <w:r w:rsidRPr="0027269C">
        <w:rPr>
          <w:rFonts w:ascii="Times New Roman" w:hAnsi="Times New Roman" w:cs="Times New Roman"/>
          <w:color w:val="000000" w:themeColor="text1"/>
          <w:sz w:val="24"/>
          <w:szCs w:val="24"/>
        </w:rPr>
        <w:t>. Thus, although our MD did not measure gene expression, the structural clamping of TP53 by rutin could underlie a similar shift away from the cell-death program.</w:t>
      </w:r>
    </w:p>
    <w:p w14:paraId="78DF26CE" w14:textId="77777777" w:rsidR="00605EBD" w:rsidRPr="0027269C" w:rsidRDefault="00605EBD" w:rsidP="00605EBD">
      <w:pPr>
        <w:spacing w:after="0" w:line="240" w:lineRule="auto"/>
        <w:jc w:val="both"/>
        <w:rPr>
          <w:rFonts w:ascii="Times New Roman" w:hAnsi="Times New Roman" w:cs="Times New Roman"/>
          <w:color w:val="000000" w:themeColor="text1"/>
          <w:sz w:val="24"/>
          <w:szCs w:val="24"/>
        </w:rPr>
      </w:pPr>
    </w:p>
    <w:p w14:paraId="23E09A29" w14:textId="78923F0F" w:rsidR="00605EBD" w:rsidRPr="009E1888" w:rsidRDefault="00605EBD" w:rsidP="00605EBD">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w:t>
      </w:r>
      <w:r w:rsidRPr="0027269C">
        <w:rPr>
          <w:rFonts w:ascii="Times New Roman" w:hAnsi="Times New Roman" w:cs="Times New Roman"/>
          <w:color w:val="000000" w:themeColor="text1"/>
          <w:sz w:val="24"/>
          <w:szCs w:val="24"/>
        </w:rPr>
        <w:t xml:space="preserve">he MD results suggest a </w:t>
      </w:r>
      <w:r w:rsidRPr="00852DDC">
        <w:rPr>
          <w:rFonts w:ascii="Times New Roman" w:hAnsi="Times New Roman" w:cs="Times New Roman"/>
          <w:color w:val="000000" w:themeColor="text1"/>
          <w:sz w:val="24"/>
          <w:szCs w:val="24"/>
        </w:rPr>
        <w:t>unifying mechanism where rutin,</w:t>
      </w:r>
      <w:r w:rsidRPr="0027269C">
        <w:rPr>
          <w:rFonts w:ascii="Times New Roman" w:hAnsi="Times New Roman" w:cs="Times New Roman"/>
          <w:color w:val="000000" w:themeColor="text1"/>
          <w:sz w:val="24"/>
          <w:szCs w:val="24"/>
        </w:rPr>
        <w:t xml:space="preserve"> isoquercetin and ellagic acid impose conformational rigidity on PD-relevant proteins, thereby biasing them toward functional, protective states. This structural stabilization likely complements the compounds’ known antioxidant and anti-apoptotic pharmacology. Indeed, rutin has been shown to shield dopaminergic neurons from 6-OHDA insult and improve behavioral outcomes in PD models</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fldData xml:space="preserve">PEVuZE5vdGU+PENpdGU+PEF1dGhvcj5CYWxvY2g8L0F1dGhvcj48WWVhcj4yMDIzPC9ZZWFyPjxS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</w:fldData>
        </w:fldChar>
      </w:r>
      <w:r w:rsidR="000C3006">
        <w:rPr>
          <w:rFonts w:ascii="Times New Roman" w:hAnsi="Times New Roman" w:cs="Times New Roman"/>
          <w:color w:val="000000" w:themeColor="text1"/>
          <w:sz w:val="24"/>
          <w:szCs w:val="24"/>
        </w:rPr>
        <w:instrText xml:space="preserve"> ADDIN EN.CITE </w:instrText>
      </w:r>
      <w:r w:rsidR="000C3006">
        <w:rPr>
          <w:rFonts w:ascii="Times New Roman" w:hAnsi="Times New Roman" w:cs="Times New Roman"/>
          <w:color w:val="000000" w:themeColor="text1"/>
          <w:sz w:val="24"/>
          <w:szCs w:val="24"/>
        </w:rPr>
        <w:fldChar w:fldCharType="begin">
          <w:fldData xml:space="preserve">PEVuZE5vdGU+PENpdGU+PEF1dGhvcj5CYWxvY2g8L0F1dGhvcj48WWVhcj4yMDIzPC9ZZWFyPjxS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</w:fldData>
        </w:fldChar>
      </w:r>
      <w:r w:rsidR="000C3006">
        <w:rPr>
          <w:rFonts w:ascii="Times New Roman" w:hAnsi="Times New Roman" w:cs="Times New Roman"/>
          <w:color w:val="000000" w:themeColor="text1"/>
          <w:sz w:val="24"/>
          <w:szCs w:val="24"/>
        </w:rPr>
        <w:instrText xml:space="preserve"> ADDIN EN.CITE.DATA </w:instrText>
      </w:r>
      <w:r w:rsidR="000C3006">
        <w:rPr>
          <w:rFonts w:ascii="Times New Roman" w:hAnsi="Times New Roman" w:cs="Times New Roman"/>
          <w:color w:val="000000" w:themeColor="text1"/>
          <w:sz w:val="24"/>
          <w:szCs w:val="24"/>
        </w:rPr>
      </w:r>
      <w:r w:rsidR="000C3006">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43</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27269C">
        <w:rPr>
          <w:rFonts w:ascii="Times New Roman" w:hAnsi="Times New Roman" w:cs="Times New Roman"/>
          <w:color w:val="000000" w:themeColor="text1"/>
          <w:sz w:val="24"/>
          <w:szCs w:val="24"/>
        </w:rPr>
        <w:t xml:space="preserve"> Also, isoquercitrin similarly mitigates MPTP-induced neuronal loss and oxidative damage and ellagic acid reduces α-synuclein aggregation while downregulating apoptotic markers like BAX/p53</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fldChar w:fldCharType="begin">
          <w:fldData xml:space="preserve">PEVuZE5vdGU+PENpdGU+PEF1dGhvcj5BcmRhaDwvQXV0aG9yPjxZZWFyPjIwMjE8L1llYXI+PFJl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</w:fldData>
        </w:fldChar>
      </w:r>
      <w:r w:rsidR="000C3006">
        <w:rPr>
          <w:rFonts w:ascii="Times New Roman" w:hAnsi="Times New Roman" w:cs="Times New Roman"/>
          <w:color w:val="000000" w:themeColor="text1"/>
          <w:sz w:val="24"/>
          <w:szCs w:val="24"/>
        </w:rPr>
        <w:instrText xml:space="preserve"> ADDIN EN.CITE </w:instrText>
      </w:r>
      <w:r w:rsidR="000C3006">
        <w:rPr>
          <w:rFonts w:ascii="Times New Roman" w:hAnsi="Times New Roman" w:cs="Times New Roman"/>
          <w:color w:val="000000" w:themeColor="text1"/>
          <w:sz w:val="24"/>
          <w:szCs w:val="24"/>
        </w:rPr>
        <w:fldChar w:fldCharType="begin">
          <w:fldData xml:space="preserve">PEVuZE5vdGU+PENpdGU+PEF1dGhvcj5BcmRhaDwvQXV0aG9yPjxZZWFyPjIwMjE8L1llYXI+PFJl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</w:fldData>
        </w:fldChar>
      </w:r>
      <w:r w:rsidR="000C3006">
        <w:rPr>
          <w:rFonts w:ascii="Times New Roman" w:hAnsi="Times New Roman" w:cs="Times New Roman"/>
          <w:color w:val="000000" w:themeColor="text1"/>
          <w:sz w:val="24"/>
          <w:szCs w:val="24"/>
        </w:rPr>
        <w:instrText xml:space="preserve"> ADDIN EN.CITE.DATA </w:instrText>
      </w:r>
      <w:r w:rsidR="000C3006">
        <w:rPr>
          <w:rFonts w:ascii="Times New Roman" w:hAnsi="Times New Roman" w:cs="Times New Roman"/>
          <w:color w:val="000000" w:themeColor="text1"/>
          <w:sz w:val="24"/>
          <w:szCs w:val="24"/>
        </w:rPr>
      </w:r>
      <w:r w:rsidR="000C3006">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fldChar w:fldCharType="separate"/>
      </w:r>
      <w:r w:rsidR="000C3006" w:rsidRPr="000C3006">
        <w:rPr>
          <w:rFonts w:ascii="Times New Roman" w:hAnsi="Times New Roman" w:cs="Times New Roman"/>
          <w:noProof/>
          <w:color w:val="000000" w:themeColor="text1"/>
          <w:sz w:val="24"/>
          <w:szCs w:val="24"/>
          <w:vertAlign w:val="superscript"/>
        </w:rPr>
        <w:t>42, 44</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27269C">
        <w:rPr>
          <w:rFonts w:ascii="Times New Roman" w:hAnsi="Times New Roman" w:cs="Times New Roman"/>
          <w:color w:val="000000" w:themeColor="text1"/>
          <w:sz w:val="24"/>
          <w:szCs w:val="24"/>
        </w:rPr>
        <w:t xml:space="preserve"> By reducing protein flexibility and solvent exposure (RMSD, RMSF, SASA) and enhancing binding energies (MMGBSA), these ligands may prevent the misfolding or dysfunctional activation of signaling proteins. In the PD brain, where proteostasis is already compromised, such stabilizing interactions could help maintain healthy signaling thresholds and suppress PD pathology.</w:t>
      </w:r>
      <w:r w:rsidRPr="009E1888">
        <w:rPr>
          <w:rFonts w:ascii="Times New Roman" w:hAnsi="Times New Roman" w:cs="Times New Roman"/>
          <w:color w:val="000000" w:themeColor="text1"/>
          <w:sz w:val="24"/>
          <w:szCs w:val="24"/>
        </w:rPr>
        <w:t xml:space="preserve"> T</w:t>
      </w:r>
      <w:r w:rsidRPr="0027269C">
        <w:rPr>
          <w:rFonts w:ascii="Times New Roman" w:hAnsi="Times New Roman" w:cs="Times New Roman"/>
          <w:color w:val="000000" w:themeColor="text1"/>
          <w:sz w:val="24"/>
          <w:szCs w:val="24"/>
        </w:rPr>
        <w:t>his study supports the hypothesis that natural compounds can act as conformational stabilizers of critical PD targets. By locking key proteins into beneficial conformations, rutin, isoquercetin and ellagic acid may preserve neuronal viability and function. This provides a mechanistic bridge between their observed neuroprotective effects and the molecular dynamics of PD-related networks. The broader implication is that small molecules which enhance the structural integrity of survival pathways while damping deleterious signals could be valuable leads for neuroprotective therapy in Parkinson’s disease.</w:t>
      </w:r>
    </w:p>
    <w:p w14:paraId="7A86CAF7" w14:textId="77777777" w:rsidR="00605EBD" w:rsidRDefault="00605EBD" w:rsidP="00605EBD">
      <w:pPr>
        <w:spacing w:after="0" w:line="240" w:lineRule="auto"/>
        <w:jc w:val="both"/>
        <w:rPr>
          <w:rFonts w:ascii="Times New Roman" w:hAnsi="Times New Roman" w:cs="Times New Roman"/>
          <w:b/>
          <w:bCs/>
          <w:color w:val="000000" w:themeColor="text1"/>
          <w:sz w:val="24"/>
          <w:szCs w:val="24"/>
        </w:rPr>
      </w:pPr>
    </w:p>
    <w:p w14:paraId="20256F27" w14:textId="77777777" w:rsidR="00605EBD" w:rsidRPr="00164924" w:rsidRDefault="00605EBD" w:rsidP="00605EBD">
      <w:pPr>
        <w:spacing w:after="0" w:line="240" w:lineRule="auto"/>
        <w:jc w:val="both"/>
        <w:rPr>
          <w:rFonts w:ascii="Times New Roman" w:hAnsi="Times New Roman" w:cs="Times New Roman"/>
          <w:b/>
          <w:bCs/>
          <w:color w:val="000000" w:themeColor="text1"/>
          <w:sz w:val="24"/>
          <w:szCs w:val="24"/>
        </w:rPr>
      </w:pPr>
      <w:r w:rsidRPr="00164924">
        <w:rPr>
          <w:rFonts w:ascii="Times New Roman" w:hAnsi="Times New Roman" w:cs="Times New Roman"/>
          <w:b/>
          <w:bCs/>
          <w:color w:val="000000" w:themeColor="text1"/>
          <w:sz w:val="24"/>
          <w:szCs w:val="24"/>
        </w:rPr>
        <w:t>Conclusion</w:t>
      </w:r>
    </w:p>
    <w:p w14:paraId="5725E3BD"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rPr>
      </w:pPr>
      <w:r w:rsidRPr="009E1888">
        <w:rPr>
          <w:rFonts w:ascii="Times New Roman" w:hAnsi="Times New Roman" w:cs="Times New Roman"/>
          <w:color w:val="000000" w:themeColor="text1"/>
          <w:sz w:val="24"/>
          <w:szCs w:val="24"/>
        </w:rPr>
        <w:t xml:space="preserve">This study elucidates the neuroprotective potential of </w:t>
      </w:r>
      <w:r w:rsidRPr="00164924">
        <w:rPr>
          <w:rFonts w:ascii="Times New Roman" w:hAnsi="Times New Roman" w:cs="Times New Roman"/>
          <w:i/>
          <w:iCs/>
          <w:color w:val="000000" w:themeColor="text1"/>
          <w:sz w:val="24"/>
          <w:szCs w:val="24"/>
        </w:rPr>
        <w:t>A</w:t>
      </w:r>
      <w:r w:rsidRPr="009E1888">
        <w:rPr>
          <w:rFonts w:ascii="Times New Roman" w:hAnsi="Times New Roman" w:cs="Times New Roman"/>
          <w:i/>
          <w:iCs/>
          <w:color w:val="000000" w:themeColor="text1"/>
          <w:sz w:val="24"/>
          <w:szCs w:val="24"/>
        </w:rPr>
        <w:t>.</w:t>
      </w:r>
      <w:r w:rsidRPr="00164924">
        <w:rPr>
          <w:rFonts w:ascii="Times New Roman" w:hAnsi="Times New Roman" w:cs="Times New Roman"/>
          <w:i/>
          <w:iCs/>
          <w:color w:val="000000" w:themeColor="text1"/>
          <w:sz w:val="24"/>
          <w:szCs w:val="24"/>
        </w:rPr>
        <w:t xml:space="preserve"> africana</w:t>
      </w:r>
      <w:r w:rsidRPr="009E1888">
        <w:rPr>
          <w:rFonts w:ascii="Times New Roman" w:hAnsi="Times New Roman" w:cs="Times New Roman"/>
          <w:color w:val="000000" w:themeColor="text1"/>
          <w:sz w:val="24"/>
          <w:szCs w:val="24"/>
        </w:rPr>
        <w:t xml:space="preserve"> phenolic compounds against PD through an integrated network pharmacology and molecular modeling approach. Key phytochemicals such as rutin, isoquercitrin, and ellagic acid were shown to interact with multiple PD-relevant proteins, AKT1, TP53, EGFR, SRC, ESR1, by exerting stabilizing effects to promote conformational rigidity and reduce solvent exposure and flexibility. These interactions suggest that the phenolics compounds in </w:t>
      </w:r>
      <w:r w:rsidRPr="009E1888">
        <w:rPr>
          <w:rFonts w:ascii="Times New Roman" w:hAnsi="Times New Roman" w:cs="Times New Roman"/>
          <w:i/>
          <w:iCs/>
          <w:color w:val="000000" w:themeColor="text1"/>
          <w:sz w:val="24"/>
          <w:szCs w:val="24"/>
        </w:rPr>
        <w:t>A.</w:t>
      </w:r>
      <w:r w:rsidRPr="009E1888">
        <w:rPr>
          <w:rFonts w:ascii="Times New Roman" w:hAnsi="Times New Roman" w:cs="Times New Roman"/>
          <w:color w:val="000000" w:themeColor="text1"/>
          <w:sz w:val="24"/>
          <w:szCs w:val="24"/>
        </w:rPr>
        <w:t xml:space="preserve"> </w:t>
      </w:r>
      <w:r w:rsidRPr="009E1888">
        <w:rPr>
          <w:rFonts w:ascii="Times New Roman" w:hAnsi="Times New Roman" w:cs="Times New Roman"/>
          <w:i/>
          <w:iCs/>
          <w:color w:val="000000" w:themeColor="text1"/>
          <w:sz w:val="24"/>
          <w:szCs w:val="24"/>
        </w:rPr>
        <w:t xml:space="preserve">africana </w:t>
      </w:r>
      <w:r w:rsidRPr="009E1888">
        <w:rPr>
          <w:rFonts w:ascii="Times New Roman" w:hAnsi="Times New Roman" w:cs="Times New Roman"/>
          <w:color w:val="000000" w:themeColor="text1"/>
          <w:sz w:val="24"/>
          <w:szCs w:val="24"/>
        </w:rPr>
        <w:t xml:space="preserve">may preserve neuronal function, suppress neuroinflammation, and inhibit apoptotic signaling. This can thereby preserve neuronal viability and proteostasis in a synergistic manner. However, this study is limited by its </w:t>
      </w:r>
      <w:r w:rsidRPr="00164924">
        <w:rPr>
          <w:rFonts w:ascii="Times New Roman" w:hAnsi="Times New Roman" w:cs="Times New Roman"/>
          <w:i/>
          <w:iCs/>
          <w:color w:val="000000" w:themeColor="text1"/>
          <w:sz w:val="24"/>
          <w:szCs w:val="24"/>
        </w:rPr>
        <w:t>in silico</w:t>
      </w:r>
      <w:r w:rsidRPr="009E1888">
        <w:rPr>
          <w:rFonts w:ascii="Times New Roman" w:hAnsi="Times New Roman" w:cs="Times New Roman"/>
          <w:color w:val="000000" w:themeColor="text1"/>
          <w:sz w:val="24"/>
          <w:szCs w:val="24"/>
        </w:rPr>
        <w:t xml:space="preserve"> nature, with no experimental validation or pharmacokinetic assessment. Future research should focus on validating these findings </w:t>
      </w:r>
      <w:r w:rsidRPr="00164924">
        <w:rPr>
          <w:rFonts w:ascii="Times New Roman" w:hAnsi="Times New Roman" w:cs="Times New Roman"/>
          <w:i/>
          <w:iCs/>
          <w:color w:val="000000" w:themeColor="text1"/>
          <w:sz w:val="24"/>
          <w:szCs w:val="24"/>
        </w:rPr>
        <w:t>in vitro</w:t>
      </w:r>
      <w:r w:rsidRPr="009E1888">
        <w:rPr>
          <w:rFonts w:ascii="Times New Roman" w:hAnsi="Times New Roman" w:cs="Times New Roman"/>
          <w:color w:val="000000" w:themeColor="text1"/>
          <w:sz w:val="24"/>
          <w:szCs w:val="24"/>
        </w:rPr>
        <w:t xml:space="preserve"> and </w:t>
      </w:r>
      <w:r w:rsidRPr="00164924">
        <w:rPr>
          <w:rFonts w:ascii="Times New Roman" w:hAnsi="Times New Roman" w:cs="Times New Roman"/>
          <w:i/>
          <w:iCs/>
          <w:color w:val="000000" w:themeColor="text1"/>
          <w:sz w:val="24"/>
          <w:szCs w:val="24"/>
        </w:rPr>
        <w:t>in vivo</w:t>
      </w:r>
      <w:r w:rsidRPr="009E1888">
        <w:rPr>
          <w:rFonts w:ascii="Times New Roman" w:hAnsi="Times New Roman" w:cs="Times New Roman"/>
          <w:color w:val="000000" w:themeColor="text1"/>
          <w:sz w:val="24"/>
          <w:szCs w:val="24"/>
        </w:rPr>
        <w:t xml:space="preserve">, optimizing compound bioavailability and BBB penetration, and exploring synergistic effects. Overall, the findings highlight the promise of </w:t>
      </w:r>
      <w:r w:rsidRPr="00164924">
        <w:rPr>
          <w:rFonts w:ascii="Times New Roman" w:hAnsi="Times New Roman" w:cs="Times New Roman"/>
          <w:i/>
          <w:iCs/>
          <w:color w:val="000000" w:themeColor="text1"/>
          <w:sz w:val="24"/>
          <w:szCs w:val="24"/>
        </w:rPr>
        <w:t>A. africana</w:t>
      </w:r>
      <w:r w:rsidRPr="009E1888">
        <w:rPr>
          <w:rFonts w:ascii="Times New Roman" w:hAnsi="Times New Roman" w:cs="Times New Roman"/>
          <w:color w:val="000000" w:themeColor="text1"/>
          <w:sz w:val="24"/>
          <w:szCs w:val="24"/>
        </w:rPr>
        <w:t xml:space="preserve"> as a multi-target source of neuroprotective agents and support the continued investigation of natural compounds in PD therapy.</w:t>
      </w:r>
    </w:p>
    <w:p w14:paraId="639EA8D1"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p>
    <w:p w14:paraId="58BF4DFD"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Acknowledgement</w:t>
      </w:r>
    </w:p>
    <w:p w14:paraId="3E1FCA9D"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color w:val="000000" w:themeColor="text1"/>
          <w:sz w:val="24"/>
          <w:szCs w:val="24"/>
          <w:lang w:val="en-GB"/>
        </w:rPr>
        <w:t>None</w:t>
      </w:r>
    </w:p>
    <w:p w14:paraId="64ACAB7F"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4F3C0565"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Ethical Approval</w:t>
      </w:r>
    </w:p>
    <w:p w14:paraId="4CA7E0DD"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lang w:val="en-GB"/>
        </w:rPr>
      </w:pPr>
      <w:r w:rsidRPr="009E1888">
        <w:rPr>
          <w:rFonts w:ascii="Times New Roman" w:hAnsi="Times New Roman" w:cs="Times New Roman"/>
          <w:color w:val="000000" w:themeColor="text1"/>
          <w:sz w:val="24"/>
          <w:szCs w:val="24"/>
          <w:lang w:val="en-GB"/>
        </w:rPr>
        <w:t>Not applicable</w:t>
      </w:r>
    </w:p>
    <w:p w14:paraId="5F6A4AB6"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0BC10C73"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Consent to Participate</w:t>
      </w:r>
    </w:p>
    <w:p w14:paraId="08075393"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lang w:val="en-GB"/>
        </w:rPr>
      </w:pPr>
      <w:r w:rsidRPr="009E1888">
        <w:rPr>
          <w:rFonts w:ascii="Times New Roman" w:hAnsi="Times New Roman" w:cs="Times New Roman"/>
          <w:color w:val="000000" w:themeColor="text1"/>
          <w:sz w:val="24"/>
          <w:szCs w:val="24"/>
          <w:lang w:val="en-GB"/>
        </w:rPr>
        <w:t>Not applicable</w:t>
      </w:r>
    </w:p>
    <w:p w14:paraId="1C1DDFEF"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412489C6"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Consent to Publish</w:t>
      </w:r>
    </w:p>
    <w:p w14:paraId="31C64261"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lang w:val="en-GB"/>
        </w:rPr>
      </w:pPr>
      <w:r w:rsidRPr="009E1888">
        <w:rPr>
          <w:rFonts w:ascii="Times New Roman" w:hAnsi="Times New Roman" w:cs="Times New Roman"/>
          <w:color w:val="000000" w:themeColor="text1"/>
          <w:sz w:val="24"/>
          <w:szCs w:val="24"/>
          <w:lang w:val="en-GB"/>
        </w:rPr>
        <w:t>Not applicable</w:t>
      </w:r>
    </w:p>
    <w:p w14:paraId="1DED47BA"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32E55ECC"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Authors contributions</w:t>
      </w:r>
    </w:p>
    <w:p w14:paraId="247282BD"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Conceptualization:</w:t>
      </w:r>
      <w:r w:rsidRPr="009E1888">
        <w:rPr>
          <w:rFonts w:ascii="Times New Roman" w:hAnsi="Times New Roman" w:cs="Times New Roman"/>
          <w:color w:val="000000" w:themeColor="text1"/>
          <w:sz w:val="24"/>
          <w:szCs w:val="24"/>
          <w:lang w:val="en-GB"/>
        </w:rPr>
        <w:t xml:space="preserve"> B.K.A, K.F, J.W.; </w:t>
      </w:r>
      <w:r w:rsidRPr="009E1888">
        <w:rPr>
          <w:rFonts w:ascii="Times New Roman" w:hAnsi="Times New Roman" w:cs="Times New Roman"/>
          <w:b/>
          <w:color w:val="000000" w:themeColor="text1"/>
          <w:sz w:val="24"/>
          <w:szCs w:val="24"/>
          <w:lang w:val="en-GB"/>
        </w:rPr>
        <w:t>Methodology and data analysis</w:t>
      </w:r>
      <w:r w:rsidRPr="009E1888">
        <w:rPr>
          <w:rFonts w:ascii="Times New Roman" w:hAnsi="Times New Roman" w:cs="Times New Roman"/>
          <w:color w:val="000000" w:themeColor="text1"/>
          <w:sz w:val="24"/>
          <w:szCs w:val="24"/>
          <w:lang w:val="en-GB"/>
        </w:rPr>
        <w:t>: J.N.K.A, B.K.A, K.F.;</w:t>
      </w:r>
      <w:r w:rsidRPr="009E1888">
        <w:rPr>
          <w:rFonts w:ascii="Times New Roman" w:hAnsi="Times New Roman" w:cs="Times New Roman"/>
          <w:b/>
          <w:color w:val="000000" w:themeColor="text1"/>
          <w:sz w:val="24"/>
          <w:szCs w:val="24"/>
          <w:lang w:val="en-GB"/>
        </w:rPr>
        <w:t xml:space="preserve"> Data Validation: </w:t>
      </w:r>
      <w:r w:rsidRPr="009E1888">
        <w:rPr>
          <w:rFonts w:ascii="Times New Roman" w:hAnsi="Times New Roman" w:cs="Times New Roman"/>
          <w:color w:val="000000" w:themeColor="text1"/>
          <w:sz w:val="24"/>
          <w:szCs w:val="24"/>
          <w:lang w:val="en-GB"/>
        </w:rPr>
        <w:t xml:space="preserve">J.W., M.M.S., E.E.N.; </w:t>
      </w:r>
      <w:r w:rsidRPr="009E1888">
        <w:rPr>
          <w:rFonts w:ascii="Times New Roman" w:hAnsi="Times New Roman" w:cs="Times New Roman"/>
          <w:b/>
          <w:color w:val="000000" w:themeColor="text1"/>
          <w:sz w:val="24"/>
          <w:szCs w:val="24"/>
          <w:lang w:val="en-GB"/>
        </w:rPr>
        <w:t>Data visualization</w:t>
      </w:r>
      <w:r w:rsidRPr="009E1888">
        <w:rPr>
          <w:rFonts w:ascii="Times New Roman" w:hAnsi="Times New Roman" w:cs="Times New Roman"/>
          <w:color w:val="000000" w:themeColor="text1"/>
          <w:sz w:val="24"/>
          <w:szCs w:val="24"/>
          <w:lang w:val="en-GB"/>
        </w:rPr>
        <w:t xml:space="preserve">: J.N.K.A., K.F., B.K.A., E.E.N.; </w:t>
      </w:r>
      <w:r w:rsidRPr="009E1888">
        <w:rPr>
          <w:rFonts w:ascii="Times New Roman" w:hAnsi="Times New Roman" w:cs="Times New Roman"/>
          <w:b/>
          <w:color w:val="000000" w:themeColor="text1"/>
          <w:sz w:val="24"/>
          <w:szCs w:val="24"/>
          <w:lang w:val="en-GB"/>
        </w:rPr>
        <w:t>Writing original draft preparation</w:t>
      </w:r>
      <w:r w:rsidRPr="009E1888">
        <w:rPr>
          <w:rFonts w:ascii="Times New Roman" w:hAnsi="Times New Roman" w:cs="Times New Roman"/>
          <w:color w:val="000000" w:themeColor="text1"/>
          <w:sz w:val="24"/>
          <w:szCs w:val="24"/>
          <w:lang w:val="en-GB"/>
        </w:rPr>
        <w:t xml:space="preserve">, K.F., B.K.A, J.N.K.A.; </w:t>
      </w:r>
      <w:r w:rsidRPr="009E1888">
        <w:rPr>
          <w:rFonts w:ascii="Times New Roman" w:hAnsi="Times New Roman" w:cs="Times New Roman"/>
          <w:b/>
          <w:color w:val="000000" w:themeColor="text1"/>
          <w:sz w:val="24"/>
          <w:szCs w:val="24"/>
          <w:lang w:val="en-GB"/>
        </w:rPr>
        <w:t>Writing-review and editing</w:t>
      </w:r>
      <w:r w:rsidRPr="009E1888">
        <w:rPr>
          <w:rFonts w:ascii="Times New Roman" w:hAnsi="Times New Roman" w:cs="Times New Roman"/>
          <w:color w:val="000000" w:themeColor="text1"/>
          <w:sz w:val="24"/>
          <w:szCs w:val="24"/>
          <w:lang w:val="en-GB"/>
        </w:rPr>
        <w:t xml:space="preserve">, M.M.S., E.E.N., J.W., B.K.A.; </w:t>
      </w:r>
      <w:r w:rsidRPr="009E1888">
        <w:rPr>
          <w:rFonts w:ascii="Times New Roman" w:hAnsi="Times New Roman" w:cs="Times New Roman"/>
          <w:b/>
          <w:color w:val="000000" w:themeColor="text1"/>
          <w:sz w:val="24"/>
          <w:szCs w:val="24"/>
          <w:lang w:val="en-GB"/>
        </w:rPr>
        <w:t>Funding acquisition</w:t>
      </w:r>
      <w:r w:rsidRPr="009E1888">
        <w:rPr>
          <w:rFonts w:ascii="Times New Roman" w:hAnsi="Times New Roman" w:cs="Times New Roman"/>
          <w:color w:val="000000" w:themeColor="text1"/>
          <w:sz w:val="24"/>
          <w:szCs w:val="24"/>
          <w:lang w:val="en-GB"/>
        </w:rPr>
        <w:t>, J.W.</w:t>
      </w:r>
      <w:r w:rsidRPr="009E1888">
        <w:rPr>
          <w:rFonts w:ascii="Times New Roman" w:hAnsi="Times New Roman" w:cs="Times New Roman"/>
          <w:b/>
          <w:color w:val="000000" w:themeColor="text1"/>
          <w:sz w:val="24"/>
          <w:szCs w:val="24"/>
          <w:lang w:val="en-GB"/>
        </w:rPr>
        <w:t xml:space="preserve"> </w:t>
      </w:r>
    </w:p>
    <w:p w14:paraId="580E6334"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3B0093DD"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Funding</w:t>
      </w:r>
    </w:p>
    <w:p w14:paraId="20355430"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lang w:val="en-GB"/>
        </w:rPr>
      </w:pPr>
      <w:r w:rsidRPr="009E1888">
        <w:rPr>
          <w:rFonts w:ascii="Times New Roman" w:hAnsi="Times New Roman" w:cs="Times New Roman"/>
          <w:color w:val="000000" w:themeColor="text1"/>
          <w:sz w:val="24"/>
          <w:szCs w:val="24"/>
          <w:lang w:val="en-GB"/>
        </w:rPr>
        <w:t>The project was partially supported by the National Natural Science Foundation of China (32161143021, 81271410) and Henan Natural Science Foundation of China (182300410313).</w:t>
      </w:r>
    </w:p>
    <w:p w14:paraId="38EB732E"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3BAE78F6"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Competing Interests</w:t>
      </w:r>
    </w:p>
    <w:p w14:paraId="2F63599F" w14:textId="77777777" w:rsidR="00605EBD" w:rsidRPr="009E1888" w:rsidRDefault="00605EBD" w:rsidP="00605EBD">
      <w:pPr>
        <w:spacing w:after="0" w:line="240" w:lineRule="auto"/>
        <w:jc w:val="both"/>
        <w:rPr>
          <w:rFonts w:ascii="Times New Roman" w:hAnsi="Times New Roman" w:cs="Times New Roman"/>
          <w:color w:val="000000" w:themeColor="text1"/>
          <w:sz w:val="24"/>
          <w:szCs w:val="24"/>
          <w:lang w:val="en-GB"/>
        </w:rPr>
      </w:pPr>
      <w:r w:rsidRPr="009E1888">
        <w:rPr>
          <w:rFonts w:ascii="Times New Roman" w:hAnsi="Times New Roman" w:cs="Times New Roman"/>
          <w:color w:val="000000" w:themeColor="text1"/>
          <w:sz w:val="24"/>
          <w:szCs w:val="24"/>
          <w:lang w:val="en-GB"/>
        </w:rPr>
        <w:t>The authors declare no competing interests</w:t>
      </w:r>
    </w:p>
    <w:p w14:paraId="117203F4"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5E0E5D4A"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Availability of Data Materials</w:t>
      </w:r>
    </w:p>
    <w:p w14:paraId="681DBBD1" w14:textId="77777777" w:rsidR="00605EBD" w:rsidRDefault="00605EBD" w:rsidP="00605EBD">
      <w:pPr>
        <w:spacing w:after="0" w:line="240" w:lineRule="auto"/>
        <w:jc w:val="both"/>
        <w:rPr>
          <w:rFonts w:ascii="Times New Roman" w:hAnsi="Times New Roman" w:cs="Times New Roman"/>
          <w:bCs/>
          <w:color w:val="000000" w:themeColor="text1"/>
          <w:sz w:val="24"/>
          <w:szCs w:val="24"/>
          <w:lang w:val="en-GB"/>
        </w:rPr>
      </w:pPr>
    </w:p>
    <w:p w14:paraId="57BB3C42" w14:textId="77777777" w:rsidR="00605EBD" w:rsidRDefault="00605EBD" w:rsidP="00605EBD">
      <w:pPr>
        <w:spacing w:after="0" w:line="240" w:lineRule="auto"/>
        <w:jc w:val="both"/>
        <w:rPr>
          <w:rFonts w:ascii="Times New Roman" w:hAnsi="Times New Roman" w:cs="Times New Roman"/>
          <w:bCs/>
          <w:color w:val="000000" w:themeColor="text1"/>
          <w:sz w:val="24"/>
          <w:szCs w:val="24"/>
          <w:lang w:val="en-GB"/>
        </w:rPr>
      </w:pPr>
      <w:r w:rsidRPr="00595119">
        <w:rPr>
          <w:rFonts w:ascii="Times New Roman" w:hAnsi="Times New Roman" w:cs="Times New Roman"/>
          <w:bCs/>
          <w:color w:val="000000" w:themeColor="text1"/>
          <w:sz w:val="24"/>
          <w:szCs w:val="24"/>
          <w:lang w:val="en-GB"/>
        </w:rPr>
        <w:t xml:space="preserve">No new datasets were generated during this study. All data used are from publicly available sources as cited in the manuscript. </w:t>
      </w:r>
      <w:r>
        <w:rPr>
          <w:rFonts w:ascii="Times New Roman" w:hAnsi="Times New Roman" w:cs="Times New Roman"/>
          <w:bCs/>
          <w:color w:val="000000" w:themeColor="text1"/>
          <w:sz w:val="24"/>
          <w:szCs w:val="24"/>
          <w:lang w:val="en-GB"/>
        </w:rPr>
        <w:t>The</w:t>
      </w:r>
      <w:r w:rsidRPr="00595119">
        <w:rPr>
          <w:rFonts w:ascii="Times New Roman" w:hAnsi="Times New Roman" w:cs="Times New Roman"/>
          <w:bCs/>
          <w:color w:val="000000" w:themeColor="text1"/>
          <w:sz w:val="24"/>
          <w:szCs w:val="24"/>
          <w:lang w:val="en-GB"/>
        </w:rPr>
        <w:t xml:space="preserve"> raw data from molecular dynamics simulations </w:t>
      </w:r>
      <w:r>
        <w:rPr>
          <w:rFonts w:ascii="Times New Roman" w:hAnsi="Times New Roman" w:cs="Times New Roman"/>
          <w:bCs/>
          <w:color w:val="000000" w:themeColor="text1"/>
          <w:sz w:val="24"/>
          <w:szCs w:val="24"/>
          <w:lang w:val="en-GB"/>
        </w:rPr>
        <w:t xml:space="preserve">outputs are </w:t>
      </w:r>
      <w:r w:rsidRPr="00595119">
        <w:rPr>
          <w:rFonts w:ascii="Times New Roman" w:hAnsi="Times New Roman" w:cs="Times New Roman"/>
          <w:bCs/>
          <w:color w:val="000000" w:themeColor="text1"/>
          <w:sz w:val="24"/>
          <w:szCs w:val="24"/>
          <w:lang w:val="en-GB"/>
        </w:rPr>
        <w:t>publicly accessible via</w:t>
      </w:r>
      <w:r>
        <w:rPr>
          <w:rFonts w:ascii="Times New Roman" w:hAnsi="Times New Roman" w:cs="Times New Roman"/>
          <w:bCs/>
          <w:color w:val="000000" w:themeColor="text1"/>
          <w:sz w:val="24"/>
          <w:szCs w:val="24"/>
          <w:lang w:val="en-GB"/>
        </w:rPr>
        <w:t xml:space="preserve"> </w:t>
      </w:r>
      <w:hyperlink r:id="rId33" w:history="1">
        <w:r w:rsidRPr="003E4712">
          <w:rPr>
            <w:rFonts w:ascii="Times New Roman" w:hAnsi="Times New Roman" w:cs="Times New Roman"/>
            <w:bCs/>
            <w:sz w:val="24"/>
            <w:szCs w:val="24"/>
            <w:lang w:val="en-GB"/>
          </w:rPr>
          <w:t>https://doi.org/10.5281/zenodo.16063183</w:t>
        </w:r>
      </w:hyperlink>
      <w:r w:rsidRPr="00595119">
        <w:rPr>
          <w:rFonts w:ascii="Times New Roman" w:hAnsi="Times New Roman" w:cs="Times New Roman"/>
          <w:bCs/>
          <w:color w:val="000000" w:themeColor="text1"/>
          <w:sz w:val="24"/>
          <w:szCs w:val="24"/>
          <w:lang w:val="en-GB"/>
        </w:rPr>
        <w:t xml:space="preserve">. </w:t>
      </w:r>
    </w:p>
    <w:p w14:paraId="33AE29E4" w14:textId="77777777" w:rsidR="00605EBD" w:rsidRDefault="00605EBD" w:rsidP="00605EBD">
      <w:pPr>
        <w:spacing w:after="0" w:line="240" w:lineRule="auto"/>
        <w:jc w:val="both"/>
        <w:rPr>
          <w:rFonts w:ascii="Times New Roman" w:hAnsi="Times New Roman" w:cs="Times New Roman"/>
          <w:b/>
          <w:color w:val="000000" w:themeColor="text1"/>
          <w:sz w:val="24"/>
          <w:szCs w:val="24"/>
          <w:lang w:val="en-GB"/>
        </w:rPr>
      </w:pPr>
    </w:p>
    <w:p w14:paraId="3B89EC11" w14:textId="77777777" w:rsidR="00605EBD" w:rsidRPr="009E1888" w:rsidRDefault="00605EBD" w:rsidP="00605EBD">
      <w:pPr>
        <w:spacing w:after="0" w:line="240" w:lineRule="auto"/>
        <w:jc w:val="both"/>
        <w:rPr>
          <w:rFonts w:ascii="Times New Roman" w:hAnsi="Times New Roman" w:cs="Times New Roman"/>
          <w:b/>
          <w:color w:val="000000" w:themeColor="text1"/>
          <w:sz w:val="24"/>
          <w:szCs w:val="24"/>
          <w:lang w:val="en-GB"/>
        </w:rPr>
      </w:pPr>
      <w:r w:rsidRPr="009E1888">
        <w:rPr>
          <w:rFonts w:ascii="Times New Roman" w:hAnsi="Times New Roman" w:cs="Times New Roman"/>
          <w:b/>
          <w:color w:val="000000" w:themeColor="text1"/>
          <w:sz w:val="24"/>
          <w:szCs w:val="24"/>
          <w:lang w:val="en-GB"/>
        </w:rPr>
        <w:t>Supporting information</w:t>
      </w:r>
    </w:p>
    <w:p w14:paraId="353212A8" w14:textId="77777777" w:rsidR="00605EBD" w:rsidRDefault="00605EBD" w:rsidP="00605EBD">
      <w:pPr>
        <w:spacing w:after="0" w:line="240" w:lineRule="auto"/>
        <w:rPr>
          <w:rFonts w:ascii="Times New Roman" w:hAnsi="Times New Roman" w:cs="Times New Roman"/>
          <w:color w:val="000000" w:themeColor="text1"/>
          <w:sz w:val="24"/>
          <w:szCs w:val="24"/>
          <w:lang w:val="en-GB"/>
        </w:rPr>
      </w:pPr>
      <w:r w:rsidRPr="00FD2DDB">
        <w:rPr>
          <w:rFonts w:ascii="Times New Roman" w:hAnsi="Times New Roman" w:cs="Times New Roman"/>
          <w:color w:val="000000" w:themeColor="text1"/>
          <w:sz w:val="24"/>
          <w:szCs w:val="24"/>
          <w:lang w:val="en-GB"/>
        </w:rPr>
        <w:t>Supporting Information includes additional molecular docking results, simulation parameters, MMGBSA input files, supplementary tables, and figures detailing hydrogen bonding, SASA, PCA, and eigenvalue plots for all protein-ligand complexes.</w:t>
      </w:r>
    </w:p>
    <w:p w14:paraId="5D027FA3" w14:textId="77777777" w:rsidR="00605EBD" w:rsidRPr="009E1888" w:rsidRDefault="00605EBD" w:rsidP="00605EBD">
      <w:pPr>
        <w:spacing w:after="0" w:line="240" w:lineRule="auto"/>
        <w:rPr>
          <w:rFonts w:ascii="Times New Roman" w:hAnsi="Times New Roman" w:cs="Times New Roman"/>
          <w:color w:val="000000" w:themeColor="text1"/>
          <w:sz w:val="24"/>
          <w:szCs w:val="24"/>
        </w:rPr>
      </w:pPr>
    </w:p>
    <w:p w14:paraId="43E76A6E" w14:textId="77777777" w:rsidR="00605EBD" w:rsidRPr="009E1888" w:rsidRDefault="00605EBD" w:rsidP="00605EBD">
      <w:pPr>
        <w:spacing w:after="0" w:line="240" w:lineRule="auto"/>
        <w:rPr>
          <w:rFonts w:ascii="Times New Roman" w:hAnsi="Times New Roman" w:cs="Times New Roman"/>
          <w:b/>
          <w:sz w:val="24"/>
          <w:szCs w:val="24"/>
        </w:rPr>
      </w:pPr>
      <w:r w:rsidRPr="009E1888">
        <w:rPr>
          <w:rFonts w:ascii="Times New Roman" w:hAnsi="Times New Roman" w:cs="Times New Roman"/>
          <w:b/>
          <w:sz w:val="24"/>
          <w:szCs w:val="24"/>
        </w:rPr>
        <w:t>Reference</w:t>
      </w:r>
    </w:p>
    <w:p w14:paraId="3F0AF538" w14:textId="77777777" w:rsidR="000C3006" w:rsidRPr="00CC4588" w:rsidRDefault="00605EBD"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sz w:val="24"/>
          <w:szCs w:val="24"/>
        </w:rPr>
        <w:fldChar w:fldCharType="begin"/>
      </w:r>
      <w:r w:rsidRPr="00CC4588">
        <w:rPr>
          <w:rFonts w:ascii="Times New Roman" w:hAnsi="Times New Roman" w:cs="Times New Roman"/>
          <w:sz w:val="24"/>
          <w:szCs w:val="24"/>
        </w:rPr>
        <w:instrText xml:space="preserve"> ADDIN EN.REFLIST </w:instrText>
      </w:r>
      <w:r w:rsidRPr="00CC4588">
        <w:rPr>
          <w:rFonts w:ascii="Times New Roman" w:hAnsi="Times New Roman" w:cs="Times New Roman"/>
          <w:sz w:val="24"/>
          <w:szCs w:val="24"/>
        </w:rPr>
        <w:fldChar w:fldCharType="separate"/>
      </w:r>
      <w:r w:rsidR="000C3006" w:rsidRPr="00CC4588">
        <w:rPr>
          <w:rFonts w:ascii="Times New Roman" w:hAnsi="Times New Roman" w:cs="Times New Roman"/>
          <w:noProof/>
          <w:sz w:val="24"/>
          <w:szCs w:val="24"/>
        </w:rPr>
        <w:t xml:space="preserve">(1) Ye, H.; Robak, L. A.; Yu, M.; Cykowski, M.; Shulman, J. M. Genetics and Pathogenesis of Parkinson's Syndrome. </w:t>
      </w:r>
      <w:r w:rsidR="000C3006" w:rsidRPr="00CC4588">
        <w:rPr>
          <w:rFonts w:ascii="Times New Roman" w:hAnsi="Times New Roman" w:cs="Times New Roman"/>
          <w:i/>
          <w:noProof/>
          <w:sz w:val="24"/>
          <w:szCs w:val="24"/>
        </w:rPr>
        <w:t xml:space="preserve">Annual Review of Pathology: Mechanisms of Disease </w:t>
      </w:r>
      <w:r w:rsidR="000C3006" w:rsidRPr="00CC4588">
        <w:rPr>
          <w:rFonts w:ascii="Times New Roman" w:hAnsi="Times New Roman" w:cs="Times New Roman"/>
          <w:b/>
          <w:noProof/>
          <w:sz w:val="24"/>
          <w:szCs w:val="24"/>
        </w:rPr>
        <w:t>2023</w:t>
      </w:r>
      <w:r w:rsidR="000C3006" w:rsidRPr="00CC4588">
        <w:rPr>
          <w:rFonts w:ascii="Times New Roman" w:hAnsi="Times New Roman" w:cs="Times New Roman"/>
          <w:noProof/>
          <w:sz w:val="24"/>
          <w:szCs w:val="24"/>
        </w:rPr>
        <w:t xml:space="preserve">, </w:t>
      </w:r>
      <w:r w:rsidR="000C3006" w:rsidRPr="00CC4588">
        <w:rPr>
          <w:rFonts w:ascii="Times New Roman" w:hAnsi="Times New Roman" w:cs="Times New Roman"/>
          <w:i/>
          <w:noProof/>
          <w:sz w:val="24"/>
          <w:szCs w:val="24"/>
        </w:rPr>
        <w:t>18</w:t>
      </w:r>
      <w:r w:rsidR="000C3006" w:rsidRPr="00CC4588">
        <w:rPr>
          <w:rFonts w:ascii="Times New Roman" w:hAnsi="Times New Roman" w:cs="Times New Roman"/>
          <w:noProof/>
          <w:sz w:val="24"/>
          <w:szCs w:val="24"/>
        </w:rPr>
        <w:t xml:space="preserve"> (1), 95-121. DOI: 10.1146/annurev-pathmechdis-031521-034145.</w:t>
      </w:r>
    </w:p>
    <w:p w14:paraId="51DCA190" w14:textId="339E2D8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 World Health Organization. </w:t>
      </w:r>
      <w:r w:rsidRPr="00C70528">
        <w:rPr>
          <w:rFonts w:ascii="Times New Roman" w:hAnsi="Times New Roman" w:cs="Times New Roman"/>
          <w:i/>
          <w:iCs/>
          <w:noProof/>
          <w:sz w:val="24"/>
          <w:szCs w:val="24"/>
        </w:rPr>
        <w:t>Pakinson DIsease</w:t>
      </w:r>
      <w:r w:rsidRPr="00CC4588">
        <w:rPr>
          <w:rFonts w:ascii="Times New Roman" w:hAnsi="Times New Roman" w:cs="Times New Roman"/>
          <w:noProof/>
          <w:sz w:val="24"/>
          <w:szCs w:val="24"/>
        </w:rPr>
        <w:t>.</w:t>
      </w:r>
      <w:r w:rsidR="00C70528" w:rsidRPr="00CC4588">
        <w:rPr>
          <w:rFonts w:ascii="Times New Roman" w:hAnsi="Times New Roman" w:cs="Times New Roman"/>
          <w:b/>
          <w:noProof/>
          <w:sz w:val="24"/>
          <w:szCs w:val="24"/>
        </w:rPr>
        <w:t>2024</w:t>
      </w:r>
      <w:r w:rsidR="00C70528" w:rsidRPr="00C70528">
        <w:rPr>
          <w:rFonts w:ascii="Times New Roman" w:hAnsi="Times New Roman" w:cs="Times New Roman"/>
          <w:noProof/>
          <w:sz w:val="24"/>
          <w:szCs w:val="24"/>
        </w:rPr>
        <w:t>https://www.who.int/news-room/fact-sheets/detail/parkinson-disease (accessed 2024-06-14).</w:t>
      </w:r>
      <w:r w:rsidRPr="00CC4588">
        <w:rPr>
          <w:rFonts w:ascii="Times New Roman" w:hAnsi="Times New Roman" w:cs="Times New Roman"/>
          <w:noProof/>
          <w:sz w:val="24"/>
          <w:szCs w:val="24"/>
        </w:rPr>
        <w:t>.</w:t>
      </w:r>
    </w:p>
    <w:p w14:paraId="5AD20AE8" w14:textId="2B1BFBFA"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 Pringsheim, T., Jette, N., Frolkis, A., &amp; Steeves, T. D. L. The prevalence of Parkinson's disease: A systematic review and meta-analysis. </w:t>
      </w:r>
      <w:r w:rsidRPr="00CC4588">
        <w:rPr>
          <w:rFonts w:ascii="Times New Roman" w:hAnsi="Times New Roman" w:cs="Times New Roman"/>
          <w:b/>
          <w:noProof/>
          <w:sz w:val="24"/>
          <w:szCs w:val="24"/>
        </w:rPr>
        <w:t>2014</w:t>
      </w:r>
      <w:r w:rsidRPr="00CC4588">
        <w:rPr>
          <w:rFonts w:ascii="Times New Roman" w:hAnsi="Times New Roman" w:cs="Times New Roman"/>
          <w:noProof/>
          <w:sz w:val="24"/>
          <w:szCs w:val="24"/>
        </w:rPr>
        <w:t>. DOI: https://doi.org/10.1002/mds.25945.</w:t>
      </w:r>
    </w:p>
    <w:p w14:paraId="6A9A1D9B"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(4) Perdigão, J. M.; Teixeira, B. J. B.; Baia-Da-Silva, D. C.; Nascimento, P. C.; Lima, R. R.; Rogez, H. Analysis of phenolic compounds in Parkinson’s disease: a bibliometric assessment of the 100 most cited papers. </w:t>
      </w:r>
      <w:r w:rsidRPr="00CC4588">
        <w:rPr>
          <w:rFonts w:ascii="Times New Roman" w:hAnsi="Times New Roman" w:cs="Times New Roman"/>
          <w:i/>
          <w:noProof/>
          <w:sz w:val="24"/>
          <w:szCs w:val="24"/>
        </w:rPr>
        <w:t xml:space="preserve">Frontiers in Aging Neuroscience </w:t>
      </w:r>
      <w:r w:rsidRPr="00CC4588">
        <w:rPr>
          <w:rFonts w:ascii="Times New Roman" w:hAnsi="Times New Roman" w:cs="Times New Roman"/>
          <w:b/>
          <w:noProof/>
          <w:sz w:val="24"/>
          <w:szCs w:val="24"/>
        </w:rPr>
        <w:t>2023</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15</w:t>
      </w:r>
      <w:r w:rsidRPr="00CC4588">
        <w:rPr>
          <w:rFonts w:ascii="Times New Roman" w:hAnsi="Times New Roman" w:cs="Times New Roman"/>
          <w:noProof/>
          <w:sz w:val="24"/>
          <w:szCs w:val="24"/>
        </w:rPr>
        <w:t>. DOI: 10.3389/fnagi.2023.1149143.</w:t>
      </w:r>
    </w:p>
    <w:p w14:paraId="71E57193"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(5) Bhusal, C. K., Uti, D. E., Mukherjee, D., Alqahtani, T., Alqahtani, S., Bhattacharya, A., &amp; Akash, S. Unveiling Nature's potential: Promising natural compounds in Parkinson's disease management. </w:t>
      </w:r>
      <w:r w:rsidRPr="00CC4588">
        <w:rPr>
          <w:rFonts w:ascii="Times New Roman" w:hAnsi="Times New Roman" w:cs="Times New Roman"/>
          <w:b/>
          <w:noProof/>
          <w:sz w:val="24"/>
          <w:szCs w:val="24"/>
        </w:rPr>
        <w:t>2023</w:t>
      </w:r>
      <w:r w:rsidRPr="00CC4588">
        <w:rPr>
          <w:rFonts w:ascii="Times New Roman" w:hAnsi="Times New Roman" w:cs="Times New Roman"/>
          <w:noProof/>
          <w:sz w:val="24"/>
          <w:szCs w:val="24"/>
        </w:rPr>
        <w:t>.</w:t>
      </w:r>
    </w:p>
    <w:p w14:paraId="6B4EC157"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(6) Magalingam, K. B.; Radhakrishnan, A. K.; Haleagrahara, N. Protective Mechanisms of Flavonoids in Parkinson’s Disease. </w:t>
      </w:r>
      <w:r w:rsidRPr="00CC4588">
        <w:rPr>
          <w:rFonts w:ascii="Times New Roman" w:hAnsi="Times New Roman" w:cs="Times New Roman"/>
          <w:i/>
          <w:noProof/>
          <w:sz w:val="24"/>
          <w:szCs w:val="24"/>
        </w:rPr>
        <w:t xml:space="preserve">Oxidative Medicine and Cellular Longevity </w:t>
      </w:r>
      <w:r w:rsidRPr="00CC4588">
        <w:rPr>
          <w:rFonts w:ascii="Times New Roman" w:hAnsi="Times New Roman" w:cs="Times New Roman"/>
          <w:b/>
          <w:noProof/>
          <w:sz w:val="24"/>
          <w:szCs w:val="24"/>
        </w:rPr>
        <w:t>2015</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2015</w:t>
      </w:r>
      <w:r w:rsidRPr="00CC4588">
        <w:rPr>
          <w:rFonts w:ascii="Times New Roman" w:hAnsi="Times New Roman" w:cs="Times New Roman"/>
          <w:noProof/>
          <w:sz w:val="24"/>
          <w:szCs w:val="24"/>
        </w:rPr>
        <w:t>, 1-14. DOI: 10.1155/2015/314560.</w:t>
      </w:r>
    </w:p>
    <w:p w14:paraId="0AE202C6"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(7) Adewunmi, R.; Ilesanmi, O.; Crown, O.; Komolafe, K.; Akinmoladun, A.; Olaleye, T.; Akindahunsi, A. Attenuation of KCN-induced Neurotoxicity by Solvent Fractions of Antiaris africana Leaf. </w:t>
      </w:r>
      <w:r w:rsidRPr="00CC4588">
        <w:rPr>
          <w:rFonts w:ascii="Times New Roman" w:hAnsi="Times New Roman" w:cs="Times New Roman"/>
          <w:i/>
          <w:noProof/>
          <w:sz w:val="24"/>
          <w:szCs w:val="24"/>
        </w:rPr>
        <w:t xml:space="preserve">European Journal of Medicinal Plants </w:t>
      </w:r>
      <w:r w:rsidRPr="00CC4588">
        <w:rPr>
          <w:rFonts w:ascii="Times New Roman" w:hAnsi="Times New Roman" w:cs="Times New Roman"/>
          <w:b/>
          <w:noProof/>
          <w:sz w:val="24"/>
          <w:szCs w:val="24"/>
        </w:rPr>
        <w:t>2018</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23</w:t>
      </w:r>
      <w:r w:rsidRPr="00CC4588">
        <w:rPr>
          <w:rFonts w:ascii="Times New Roman" w:hAnsi="Times New Roman" w:cs="Times New Roman"/>
          <w:noProof/>
          <w:sz w:val="24"/>
          <w:szCs w:val="24"/>
        </w:rPr>
        <w:t xml:space="preserve"> (2), 1-11. DOI: 10.9734/ejmp/2018/41054.</w:t>
      </w:r>
    </w:p>
    <w:p w14:paraId="6A25A6FD"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(8) Ilesanmi, O. B., Akinmoladun, A. C., Elusiyan, C. A., Ogungbe, I. V., Olugbade, T. A., &amp; Olaleye, M. T. . Neuroprotective flavonoids of the leaf of Antiaris africana Englea against cyanide toxicity. </w:t>
      </w:r>
      <w:r w:rsidRPr="00CC4588">
        <w:rPr>
          <w:rFonts w:ascii="Times New Roman" w:hAnsi="Times New Roman" w:cs="Times New Roman"/>
          <w:i/>
          <w:noProof/>
          <w:sz w:val="24"/>
          <w:szCs w:val="24"/>
        </w:rPr>
        <w:t xml:space="preserve">Journal of Ethnopharmacology </w:t>
      </w:r>
      <w:r w:rsidRPr="00CC4588">
        <w:rPr>
          <w:rFonts w:ascii="Times New Roman" w:hAnsi="Times New Roman" w:cs="Times New Roman"/>
          <w:b/>
          <w:noProof/>
          <w:sz w:val="24"/>
          <w:szCs w:val="24"/>
        </w:rPr>
        <w:t>2022</w:t>
      </w:r>
      <w:r w:rsidRPr="00CC4588">
        <w:rPr>
          <w:rFonts w:ascii="Times New Roman" w:hAnsi="Times New Roman" w:cs="Times New Roman"/>
          <w:noProof/>
          <w:sz w:val="24"/>
          <w:szCs w:val="24"/>
        </w:rPr>
        <w:t>.</w:t>
      </w:r>
    </w:p>
    <w:p w14:paraId="46EE54F0"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(9) Kuete, V.; Vouffo, B.; Mbaveng, A. T.; Vouffo, E. Y.; Siagat, R. M.; Dongo, E. Evaluation ofAntiaris africanamethanol extract and compounds for antioxidant and antitumor activities. </w:t>
      </w:r>
      <w:r w:rsidRPr="00CC4588">
        <w:rPr>
          <w:rFonts w:ascii="Times New Roman" w:hAnsi="Times New Roman" w:cs="Times New Roman"/>
          <w:i/>
          <w:noProof/>
          <w:sz w:val="24"/>
          <w:szCs w:val="24"/>
        </w:rPr>
        <w:t xml:space="preserve">Pharmaceutical Biology </w:t>
      </w:r>
      <w:r w:rsidRPr="00CC4588">
        <w:rPr>
          <w:rFonts w:ascii="Times New Roman" w:hAnsi="Times New Roman" w:cs="Times New Roman"/>
          <w:b/>
          <w:noProof/>
          <w:sz w:val="24"/>
          <w:szCs w:val="24"/>
        </w:rPr>
        <w:t>2009</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47</w:t>
      </w:r>
      <w:r w:rsidRPr="00CC4588">
        <w:rPr>
          <w:rFonts w:ascii="Times New Roman" w:hAnsi="Times New Roman" w:cs="Times New Roman"/>
          <w:noProof/>
          <w:sz w:val="24"/>
          <w:szCs w:val="24"/>
        </w:rPr>
        <w:t xml:space="preserve"> (11), 1042-1049. DOI: 10.3109/13880200902988595.</w:t>
      </w:r>
    </w:p>
    <w:p w14:paraId="2E4BB6D2" w14:textId="46EFB03D"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(10) Omotayo, B. I., Tolulope, M. O., Afolabi, C. A., &amp; Taiwo, T. A. . HPLC quantification of phenolic content and assessment of methanolic extract of Antiaris africana for toxicological study. </w:t>
      </w:r>
      <w:r w:rsidRPr="00CC4588">
        <w:rPr>
          <w:rFonts w:ascii="Times New Roman" w:hAnsi="Times New Roman" w:cs="Times New Roman"/>
          <w:i/>
          <w:noProof/>
          <w:sz w:val="24"/>
          <w:szCs w:val="24"/>
        </w:rPr>
        <w:t xml:space="preserve">. African Journal of Biotechnology </w:t>
      </w:r>
      <w:r w:rsidRPr="00CC4588">
        <w:rPr>
          <w:rFonts w:ascii="Times New Roman" w:hAnsi="Times New Roman" w:cs="Times New Roman"/>
          <w:b/>
          <w:noProof/>
          <w:sz w:val="24"/>
          <w:szCs w:val="24"/>
        </w:rPr>
        <w:t>2016</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15</w:t>
      </w:r>
      <w:r w:rsidRPr="00CC4588">
        <w:rPr>
          <w:rFonts w:ascii="Times New Roman" w:hAnsi="Times New Roman" w:cs="Times New Roman"/>
          <w:noProof/>
          <w:sz w:val="24"/>
          <w:szCs w:val="24"/>
        </w:rPr>
        <w:t xml:space="preserve"> (9), 320-330. DOI: https://doi.org/10.5897/ajb2015.14825.</w:t>
      </w:r>
    </w:p>
    <w:p w14:paraId="3700ACE9"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(11) Gupta, R.; Srivastava, D.; Sahu, M.; Tiwari, S.; Ambasta, R. K.; Kumar, P. Artificial intelligence to deep learning: machine intelligence approach for drug discovery. </w:t>
      </w:r>
      <w:r w:rsidRPr="00CC4588">
        <w:rPr>
          <w:rFonts w:ascii="Times New Roman" w:hAnsi="Times New Roman" w:cs="Times New Roman"/>
          <w:i/>
          <w:noProof/>
          <w:sz w:val="24"/>
          <w:szCs w:val="24"/>
        </w:rPr>
        <w:t xml:space="preserve">Molecular Diversity </w:t>
      </w:r>
      <w:r w:rsidRPr="00CC4588">
        <w:rPr>
          <w:rFonts w:ascii="Times New Roman" w:hAnsi="Times New Roman" w:cs="Times New Roman"/>
          <w:b/>
          <w:noProof/>
          <w:sz w:val="24"/>
          <w:szCs w:val="24"/>
        </w:rPr>
        <w:t>2021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25</w:t>
      </w:r>
      <w:r w:rsidRPr="00CC4588">
        <w:rPr>
          <w:rFonts w:ascii="Times New Roman" w:hAnsi="Times New Roman" w:cs="Times New Roman"/>
          <w:noProof/>
          <w:sz w:val="24"/>
          <w:szCs w:val="24"/>
        </w:rPr>
        <w:t xml:space="preserve"> (3), 1315-1360. DOI: 10.1007/s11030-021-10217-3.</w:t>
      </w:r>
    </w:p>
    <w:p w14:paraId="3E7748E6" w14:textId="2C185809"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(12) Gong, J., Xu, Z., Hao, S., Chen, B., Zhuang, S., Zhejiang, J., Hospital, X., &amp; Bathaie, S. Z. Prediction of the underlying protective effect of saffron on Parkinson’s disease via network pharmacology and molecular docking. </w:t>
      </w:r>
      <w:r w:rsidRPr="00CC4588">
        <w:rPr>
          <w:rFonts w:ascii="Times New Roman" w:hAnsi="Times New Roman" w:cs="Times New Roman"/>
          <w:i/>
          <w:noProof/>
          <w:sz w:val="24"/>
          <w:szCs w:val="24"/>
        </w:rPr>
        <w:t xml:space="preserve">Research Square </w:t>
      </w:r>
      <w:r w:rsidRPr="00CC4588">
        <w:rPr>
          <w:rFonts w:ascii="Times New Roman" w:hAnsi="Times New Roman" w:cs="Times New Roman"/>
          <w:b/>
          <w:noProof/>
          <w:sz w:val="24"/>
          <w:szCs w:val="24"/>
        </w:rPr>
        <w:t>2021</w:t>
      </w:r>
      <w:r w:rsidRPr="00CC4588">
        <w:rPr>
          <w:rFonts w:ascii="Times New Roman" w:hAnsi="Times New Roman" w:cs="Times New Roman"/>
          <w:noProof/>
          <w:sz w:val="24"/>
          <w:szCs w:val="24"/>
        </w:rPr>
        <w:t>. DOI: https://doi.org/10.21203/rs.3.rs-143357/v1.</w:t>
      </w:r>
    </w:p>
    <w:p w14:paraId="5355FE0E"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(13) Gfeller, D.; Grosdidier, A.; Wirth, M.; Daina, A.; Michielin, O.; Zoete, V. SwissTargetPrediction: a web server for target prediction of bioactive small molecules. </w:t>
      </w:r>
      <w:r w:rsidRPr="00CC4588">
        <w:rPr>
          <w:rFonts w:ascii="Times New Roman" w:hAnsi="Times New Roman" w:cs="Times New Roman"/>
          <w:i/>
          <w:noProof/>
          <w:sz w:val="24"/>
          <w:szCs w:val="24"/>
        </w:rPr>
        <w:t xml:space="preserve">Nucleic Acids Research </w:t>
      </w:r>
      <w:r w:rsidRPr="00CC4588">
        <w:rPr>
          <w:rFonts w:ascii="Times New Roman" w:hAnsi="Times New Roman" w:cs="Times New Roman"/>
          <w:b/>
          <w:noProof/>
          <w:sz w:val="24"/>
          <w:szCs w:val="24"/>
        </w:rPr>
        <w:t>2014</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42</w:t>
      </w:r>
      <w:r w:rsidRPr="00CC4588">
        <w:rPr>
          <w:rFonts w:ascii="Times New Roman" w:hAnsi="Times New Roman" w:cs="Times New Roman"/>
          <w:noProof/>
          <w:sz w:val="24"/>
          <w:szCs w:val="24"/>
        </w:rPr>
        <w:t xml:space="preserve"> (W1), W32-W38. DOI: 10.1093/nar/gku293.</w:t>
      </w:r>
    </w:p>
    <w:p w14:paraId="53E7FBC0"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(14) Kuhn, M.; Szklarczyk, D.; Franceschini, A.; Campillos, M.; von Mering, C.; Jensen, L. J.; Beyer, A.; Bork, P. STITCH 2: an interaction network database for small molecules and proteins. </w:t>
      </w:r>
      <w:r w:rsidRPr="00CC4588">
        <w:rPr>
          <w:rFonts w:ascii="Times New Roman" w:hAnsi="Times New Roman" w:cs="Times New Roman"/>
          <w:i/>
          <w:noProof/>
          <w:sz w:val="24"/>
          <w:szCs w:val="24"/>
        </w:rPr>
        <w:t xml:space="preserve">Nucleic Acids Res </w:t>
      </w:r>
      <w:r w:rsidRPr="00CC4588">
        <w:rPr>
          <w:rFonts w:ascii="Times New Roman" w:hAnsi="Times New Roman" w:cs="Times New Roman"/>
          <w:b/>
          <w:noProof/>
          <w:sz w:val="24"/>
          <w:szCs w:val="24"/>
        </w:rPr>
        <w:t>2010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38</w:t>
      </w:r>
      <w:r w:rsidRPr="00CC4588">
        <w:rPr>
          <w:rFonts w:ascii="Times New Roman" w:hAnsi="Times New Roman" w:cs="Times New Roman"/>
          <w:noProof/>
          <w:sz w:val="24"/>
          <w:szCs w:val="24"/>
        </w:rPr>
        <w:t xml:space="preserve"> (Database issue), D552-556. DOI: 10.1093/nar/gkp937.</w:t>
      </w:r>
    </w:p>
    <w:p w14:paraId="5EEA1BDE"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(15) Szklarczyk, D.; Kirsch, R.; Koutrouli, M.; Nastou, K.; Mehryary, F.; Hachilif, R.; Gable, A. L.; Fang, T.; Nadezhda; Pyysalo, S.; et al. The STRING database in 2023: protein–protein association networks and functional enrichment analyses for any sequenced genome of interest. </w:t>
      </w:r>
      <w:r w:rsidRPr="00CC4588">
        <w:rPr>
          <w:rFonts w:ascii="Times New Roman" w:hAnsi="Times New Roman" w:cs="Times New Roman"/>
          <w:i/>
          <w:noProof/>
          <w:sz w:val="24"/>
          <w:szCs w:val="24"/>
        </w:rPr>
        <w:t xml:space="preserve">Nucleic Acids Research </w:t>
      </w:r>
      <w:r w:rsidRPr="00CC4588">
        <w:rPr>
          <w:rFonts w:ascii="Times New Roman" w:hAnsi="Times New Roman" w:cs="Times New Roman"/>
          <w:b/>
          <w:noProof/>
          <w:sz w:val="24"/>
          <w:szCs w:val="24"/>
        </w:rPr>
        <w:t>2023</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51</w:t>
      </w:r>
      <w:r w:rsidRPr="00CC4588">
        <w:rPr>
          <w:rFonts w:ascii="Times New Roman" w:hAnsi="Times New Roman" w:cs="Times New Roman"/>
          <w:noProof/>
          <w:sz w:val="24"/>
          <w:szCs w:val="24"/>
        </w:rPr>
        <w:t xml:space="preserve"> (D1), D638-D646. DOI: 10.1093/nar/gkac1000.</w:t>
      </w:r>
    </w:p>
    <w:p w14:paraId="3D275529"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(16) Chin, C. H.; Chen, S. H.; Wu, H. H.; Ho, C. W.; Ko, M. T.; Lin, C. Y. cytoHubba: identifying hub objects and sub-networks from complex interactome. </w:t>
      </w:r>
      <w:r w:rsidRPr="00CC4588">
        <w:rPr>
          <w:rFonts w:ascii="Times New Roman" w:hAnsi="Times New Roman" w:cs="Times New Roman"/>
          <w:i/>
          <w:noProof/>
          <w:sz w:val="24"/>
          <w:szCs w:val="24"/>
        </w:rPr>
        <w:t xml:space="preserve">BMC Syst Biol </w:t>
      </w:r>
      <w:r w:rsidRPr="00CC4588">
        <w:rPr>
          <w:rFonts w:ascii="Times New Roman" w:hAnsi="Times New Roman" w:cs="Times New Roman"/>
          <w:b/>
          <w:noProof/>
          <w:sz w:val="24"/>
          <w:szCs w:val="24"/>
        </w:rPr>
        <w:t>2014</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8 Suppl 4</w:t>
      </w:r>
      <w:r w:rsidRPr="00CC4588">
        <w:rPr>
          <w:rFonts w:ascii="Times New Roman" w:hAnsi="Times New Roman" w:cs="Times New Roman"/>
          <w:noProof/>
          <w:sz w:val="24"/>
          <w:szCs w:val="24"/>
        </w:rPr>
        <w:t xml:space="preserve"> (Suppl 4), S11. DOI: 10.1186/1752-0509-8-S4-S11.</w:t>
      </w:r>
    </w:p>
    <w:p w14:paraId="2BFF0F23"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(17) Waterhouse, A.; Bertoni, M.; Bienert, S.; Studer, G.; Tauriello, G.; Gumienny, R.; Heer, F. T.; de Beer, T. A. P.; Rempfer, C.; Bordoli, L.; et al. SWISS-MODEL: homology modelling of protein structures and complexes. </w:t>
      </w:r>
      <w:r w:rsidRPr="00CC4588">
        <w:rPr>
          <w:rFonts w:ascii="Times New Roman" w:hAnsi="Times New Roman" w:cs="Times New Roman"/>
          <w:i/>
          <w:noProof/>
          <w:sz w:val="24"/>
          <w:szCs w:val="24"/>
        </w:rPr>
        <w:t xml:space="preserve">Nucleic Acids Res </w:t>
      </w:r>
      <w:r w:rsidRPr="00CC4588">
        <w:rPr>
          <w:rFonts w:ascii="Times New Roman" w:hAnsi="Times New Roman" w:cs="Times New Roman"/>
          <w:b/>
          <w:noProof/>
          <w:sz w:val="24"/>
          <w:szCs w:val="24"/>
        </w:rPr>
        <w:t>2018</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46</w:t>
      </w:r>
      <w:r w:rsidRPr="00CC4588">
        <w:rPr>
          <w:rFonts w:ascii="Times New Roman" w:hAnsi="Times New Roman" w:cs="Times New Roman"/>
          <w:noProof/>
          <w:sz w:val="24"/>
          <w:szCs w:val="24"/>
        </w:rPr>
        <w:t xml:space="preserve"> (W1), W296-W303. DOI: 10.1093/nar/gky427.</w:t>
      </w:r>
    </w:p>
    <w:p w14:paraId="0BBCDAAE"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(18) Dallakyan, S.; Olson, A. J. Small-molecule library screening by docking with PyRx. </w:t>
      </w:r>
      <w:r w:rsidRPr="00CC4588">
        <w:rPr>
          <w:rFonts w:ascii="Times New Roman" w:hAnsi="Times New Roman" w:cs="Times New Roman"/>
          <w:i/>
          <w:noProof/>
          <w:sz w:val="24"/>
          <w:szCs w:val="24"/>
        </w:rPr>
        <w:t xml:space="preserve">Methods Mol Biol </w:t>
      </w:r>
      <w:r w:rsidRPr="00CC4588">
        <w:rPr>
          <w:rFonts w:ascii="Times New Roman" w:hAnsi="Times New Roman" w:cs="Times New Roman"/>
          <w:b/>
          <w:noProof/>
          <w:sz w:val="24"/>
          <w:szCs w:val="24"/>
        </w:rPr>
        <w:t>2015</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1263</w:t>
      </w:r>
      <w:r w:rsidRPr="00CC4588">
        <w:rPr>
          <w:rFonts w:ascii="Times New Roman" w:hAnsi="Times New Roman" w:cs="Times New Roman"/>
          <w:noProof/>
          <w:sz w:val="24"/>
          <w:szCs w:val="24"/>
        </w:rPr>
        <w:t>, 243-250. DOI: 10.1007/978-1-4939-2269-7_19.</w:t>
      </w:r>
    </w:p>
    <w:p w14:paraId="038CAD1B"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(19) Trott, O.; Olson, A. J. AutoDock Vina: improving the speed and accuracy of docking with a new scoring function, efficient optimization, and multithreading. </w:t>
      </w:r>
      <w:r w:rsidRPr="00CC4588">
        <w:rPr>
          <w:rFonts w:ascii="Times New Roman" w:hAnsi="Times New Roman" w:cs="Times New Roman"/>
          <w:i/>
          <w:noProof/>
          <w:sz w:val="24"/>
          <w:szCs w:val="24"/>
        </w:rPr>
        <w:t xml:space="preserve">J Comput Chem </w:t>
      </w:r>
      <w:r w:rsidRPr="00CC4588">
        <w:rPr>
          <w:rFonts w:ascii="Times New Roman" w:hAnsi="Times New Roman" w:cs="Times New Roman"/>
          <w:b/>
          <w:noProof/>
          <w:sz w:val="24"/>
          <w:szCs w:val="24"/>
        </w:rPr>
        <w:t>2010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31</w:t>
      </w:r>
      <w:r w:rsidRPr="00CC4588">
        <w:rPr>
          <w:rFonts w:ascii="Times New Roman" w:hAnsi="Times New Roman" w:cs="Times New Roman"/>
          <w:noProof/>
          <w:sz w:val="24"/>
          <w:szCs w:val="24"/>
        </w:rPr>
        <w:t xml:space="preserve"> (2), 455-461. DOI: 10.1002/jcc.21334.</w:t>
      </w:r>
    </w:p>
    <w:p w14:paraId="6B936177" w14:textId="771C92EB"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(20) Abraham, M. J., Murtola, T., Schulz, R., Páll, S., Smith, J. C., Hess, B., &amp; Lindahl, E.. GROMACS: High performance molecular simulations through multi-level parallelism from laptops to supercomputers. . </w:t>
      </w:r>
      <w:r w:rsidRPr="00CC4588">
        <w:rPr>
          <w:rFonts w:ascii="Times New Roman" w:hAnsi="Times New Roman" w:cs="Times New Roman"/>
          <w:i/>
          <w:noProof/>
          <w:sz w:val="24"/>
          <w:szCs w:val="24"/>
        </w:rPr>
        <w:t xml:space="preserve">Softwarex </w:t>
      </w:r>
      <w:r w:rsidRPr="00CC4588">
        <w:rPr>
          <w:rFonts w:ascii="Times New Roman" w:hAnsi="Times New Roman" w:cs="Times New Roman"/>
          <w:b/>
          <w:noProof/>
          <w:sz w:val="24"/>
          <w:szCs w:val="24"/>
        </w:rPr>
        <w:t>2015</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1-2</w:t>
      </w:r>
      <w:r w:rsidRPr="00CC4588">
        <w:rPr>
          <w:rFonts w:ascii="Times New Roman" w:hAnsi="Times New Roman" w:cs="Times New Roman"/>
          <w:noProof/>
          <w:sz w:val="24"/>
          <w:szCs w:val="24"/>
        </w:rPr>
        <w:t>, 19-25. DOI: https://doi.org/10.1016/j.softx.2015.06.001.</w:t>
      </w:r>
    </w:p>
    <w:p w14:paraId="45222E50" w14:textId="6039CB40"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(21) Zoete, V., Cuendet, M. A., Grosdidier, A., &amp; Michielin, O. . SwissParam: A fast force field generation tool for small organic molecules. </w:t>
      </w:r>
      <w:r w:rsidRPr="00CC4588">
        <w:rPr>
          <w:rFonts w:ascii="Times New Roman" w:hAnsi="Times New Roman" w:cs="Times New Roman"/>
          <w:i/>
          <w:noProof/>
          <w:sz w:val="24"/>
          <w:szCs w:val="24"/>
        </w:rPr>
        <w:t xml:space="preserve">Journal of Computational Chemistry </w:t>
      </w:r>
      <w:r w:rsidRPr="00CC4588">
        <w:rPr>
          <w:rFonts w:ascii="Times New Roman" w:hAnsi="Times New Roman" w:cs="Times New Roman"/>
          <w:b/>
          <w:noProof/>
          <w:sz w:val="24"/>
          <w:szCs w:val="24"/>
        </w:rPr>
        <w:t>2011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32</w:t>
      </w:r>
      <w:r w:rsidRPr="00CC4588">
        <w:rPr>
          <w:rFonts w:ascii="Times New Roman" w:hAnsi="Times New Roman" w:cs="Times New Roman"/>
          <w:noProof/>
          <w:sz w:val="24"/>
          <w:szCs w:val="24"/>
        </w:rPr>
        <w:t xml:space="preserve"> (11), 2359-2368. DOI: https://doi.org/10.1002/jcc.21816 </w:t>
      </w:r>
    </w:p>
    <w:p w14:paraId="0CFD2FF7" w14:textId="5CEF1833"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(22) Ke, Q., Gong, X., Liao, S., Duan, C., &amp; Li, L. . Effects of thermostats/barostats on physical properties of liquids by molecular dynamics simulations. </w:t>
      </w:r>
      <w:r w:rsidRPr="00CC4588">
        <w:rPr>
          <w:rFonts w:ascii="Times New Roman" w:hAnsi="Times New Roman" w:cs="Times New Roman"/>
          <w:i/>
          <w:noProof/>
          <w:sz w:val="24"/>
          <w:szCs w:val="24"/>
        </w:rPr>
        <w:t xml:space="preserve">Journal of Molecular Liquids </w:t>
      </w:r>
      <w:r w:rsidRPr="00CC4588">
        <w:rPr>
          <w:rFonts w:ascii="Times New Roman" w:hAnsi="Times New Roman" w:cs="Times New Roman"/>
          <w:b/>
          <w:noProof/>
          <w:sz w:val="24"/>
          <w:szCs w:val="24"/>
        </w:rPr>
        <w:t>2022</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365</w:t>
      </w:r>
      <w:r w:rsidRPr="00CC4588">
        <w:rPr>
          <w:rFonts w:ascii="Times New Roman" w:hAnsi="Times New Roman" w:cs="Times New Roman"/>
          <w:noProof/>
          <w:sz w:val="24"/>
          <w:szCs w:val="24"/>
        </w:rPr>
        <w:t>, 120116. DOI: https://doi.org/10.1016/j.molliq.2022.120116.</w:t>
      </w:r>
    </w:p>
    <w:p w14:paraId="0B4FB600"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(23) Valdés‑Tresanco, M. S., Valdés‑Tresanco, M. E., Valiente, P. A., &amp; Moreno, E. . A new tool to perform end‑state free energy calculations with GROMACS. </w:t>
      </w:r>
      <w:r w:rsidRPr="00CC4588">
        <w:rPr>
          <w:rFonts w:ascii="Times New Roman" w:hAnsi="Times New Roman" w:cs="Times New Roman"/>
          <w:i/>
          <w:noProof/>
          <w:sz w:val="24"/>
          <w:szCs w:val="24"/>
        </w:rPr>
        <w:t xml:space="preserve">Journal of Chemical Theory and Computation </w:t>
      </w:r>
      <w:r w:rsidRPr="00CC4588">
        <w:rPr>
          <w:rFonts w:ascii="Times New Roman" w:hAnsi="Times New Roman" w:cs="Times New Roman"/>
          <w:b/>
          <w:noProof/>
          <w:sz w:val="24"/>
          <w:szCs w:val="24"/>
        </w:rPr>
        <w:t>2021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17</w:t>
      </w:r>
      <w:r w:rsidRPr="00CC4588">
        <w:rPr>
          <w:rFonts w:ascii="Times New Roman" w:hAnsi="Times New Roman" w:cs="Times New Roman"/>
          <w:noProof/>
          <w:sz w:val="24"/>
          <w:szCs w:val="24"/>
        </w:rPr>
        <w:t xml:space="preserve"> (10), 6281–6291.</w:t>
      </w:r>
    </w:p>
    <w:p w14:paraId="49BAAA42" w14:textId="435BCF6C"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(24) Genheden, S., &amp; Ryde, U. The MM/PBSA and MM/GBSA methods to estimate ligand‑binding affinities. </w:t>
      </w:r>
      <w:r w:rsidRPr="00CC4588">
        <w:rPr>
          <w:rFonts w:ascii="Times New Roman" w:hAnsi="Times New Roman" w:cs="Times New Roman"/>
          <w:i/>
          <w:noProof/>
          <w:sz w:val="24"/>
          <w:szCs w:val="24"/>
        </w:rPr>
        <w:t xml:space="preserve">Expert Opinion on Drug Discovery </w:t>
      </w:r>
      <w:r w:rsidRPr="00CC4588">
        <w:rPr>
          <w:rFonts w:ascii="Times New Roman" w:hAnsi="Times New Roman" w:cs="Times New Roman"/>
          <w:b/>
          <w:noProof/>
          <w:sz w:val="24"/>
          <w:szCs w:val="24"/>
        </w:rPr>
        <w:t>2015</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10</w:t>
      </w:r>
      <w:r w:rsidRPr="00CC4588">
        <w:rPr>
          <w:rFonts w:ascii="Times New Roman" w:hAnsi="Times New Roman" w:cs="Times New Roman"/>
          <w:noProof/>
          <w:sz w:val="24"/>
          <w:szCs w:val="24"/>
        </w:rPr>
        <w:t xml:space="preserve"> (5), 449-461. DOI: https://doi.org/10.1517/17460441.2015.1032936.</w:t>
      </w:r>
    </w:p>
    <w:p w14:paraId="71DAF4E7"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(25) David, C. C., &amp; Jacobs, D. J. Principal component analysis : A method for determining the essential dynamics of proteins. </w:t>
      </w:r>
      <w:r w:rsidRPr="00CC4588">
        <w:rPr>
          <w:rFonts w:ascii="Times New Roman" w:hAnsi="Times New Roman" w:cs="Times New Roman"/>
          <w:i/>
          <w:noProof/>
          <w:sz w:val="24"/>
          <w:szCs w:val="24"/>
        </w:rPr>
        <w:t xml:space="preserve">Methods in Molecular Biology </w:t>
      </w:r>
      <w:r w:rsidRPr="00CC4588">
        <w:rPr>
          <w:rFonts w:ascii="Times New Roman" w:hAnsi="Times New Roman" w:cs="Times New Roman"/>
          <w:b/>
          <w:noProof/>
          <w:sz w:val="24"/>
          <w:szCs w:val="24"/>
        </w:rPr>
        <w:t>2014</w:t>
      </w:r>
      <w:r w:rsidRPr="00CC4588">
        <w:rPr>
          <w:rFonts w:ascii="Times New Roman" w:hAnsi="Times New Roman" w:cs="Times New Roman"/>
          <w:noProof/>
          <w:sz w:val="24"/>
          <w:szCs w:val="24"/>
        </w:rPr>
        <w:t>, 193–226.</w:t>
      </w:r>
    </w:p>
    <w:p w14:paraId="2F1484B6" w14:textId="0BAA7EAE"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(26) Bakan, A., Meireles, L. M., &amp; Bahar, I. . ProDy: protein dynamics inferred from theory and experiments. </w:t>
      </w:r>
      <w:r w:rsidRPr="00CC4588">
        <w:rPr>
          <w:rFonts w:ascii="Times New Roman" w:hAnsi="Times New Roman" w:cs="Times New Roman"/>
          <w:i/>
          <w:noProof/>
          <w:sz w:val="24"/>
          <w:szCs w:val="24"/>
        </w:rPr>
        <w:t>Bioinformatics 7</w:t>
      </w:r>
      <w:r w:rsidRPr="00CC4588">
        <w:rPr>
          <w:rFonts w:ascii="Times New Roman" w:hAnsi="Times New Roman" w:cs="Times New Roman"/>
          <w:noProof/>
          <w:sz w:val="24"/>
          <w:szCs w:val="24"/>
        </w:rPr>
        <w:t xml:space="preserve"> (11), 1575-1577. Gerek, Z. N., &amp; Ozkan, S. B. Change in allosteric network affects binding affinities of PDZ domains: analysis through perturbation response scanning. </w:t>
      </w:r>
      <w:r w:rsidRPr="00CC4588">
        <w:rPr>
          <w:rFonts w:ascii="Times New Roman" w:hAnsi="Times New Roman" w:cs="Times New Roman"/>
          <w:i/>
          <w:noProof/>
          <w:sz w:val="24"/>
          <w:szCs w:val="24"/>
        </w:rPr>
        <w:t xml:space="preserve">PLoS Comput Biol </w:t>
      </w:r>
      <w:r w:rsidRPr="00CC4588">
        <w:rPr>
          <w:rFonts w:ascii="Times New Roman" w:hAnsi="Times New Roman" w:cs="Times New Roman"/>
          <w:b/>
          <w:noProof/>
          <w:sz w:val="24"/>
          <w:szCs w:val="24"/>
        </w:rPr>
        <w:t>2011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7</w:t>
      </w:r>
      <w:r w:rsidRPr="00CC4588">
        <w:rPr>
          <w:rFonts w:ascii="Times New Roman" w:hAnsi="Times New Roman" w:cs="Times New Roman"/>
          <w:noProof/>
          <w:sz w:val="24"/>
          <w:szCs w:val="24"/>
        </w:rPr>
        <w:t xml:space="preserve"> (10). DOI: https://doi.org/10.1371/journal.pcbi.1002154.</w:t>
      </w:r>
    </w:p>
    <w:p w14:paraId="4CF680D7" w14:textId="05AF3005"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(27) Miyashita, O., Onuchic, J. N., &amp; Wolynes, P. G. . Nonlinear elasticity, proteinquakes, and the energy landscapes of functional transitions in proteins. </w:t>
      </w:r>
      <w:r w:rsidRPr="00CC4588">
        <w:rPr>
          <w:rFonts w:ascii="Times New Roman" w:hAnsi="Times New Roman" w:cs="Times New Roman"/>
          <w:i/>
          <w:noProof/>
          <w:sz w:val="24"/>
          <w:szCs w:val="24"/>
        </w:rPr>
        <w:t xml:space="preserve">Proceedings of the National Academy of Sciences </w:t>
      </w:r>
      <w:r w:rsidRPr="00CC4588">
        <w:rPr>
          <w:rFonts w:ascii="Times New Roman" w:hAnsi="Times New Roman" w:cs="Times New Roman"/>
          <w:b/>
          <w:noProof/>
          <w:sz w:val="24"/>
          <w:szCs w:val="24"/>
        </w:rPr>
        <w:t>2003</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100</w:t>
      </w:r>
      <w:r w:rsidRPr="00CC4588">
        <w:rPr>
          <w:rFonts w:ascii="Times New Roman" w:hAnsi="Times New Roman" w:cs="Times New Roman"/>
          <w:noProof/>
          <w:sz w:val="24"/>
          <w:szCs w:val="24"/>
        </w:rPr>
        <w:t xml:space="preserve"> (22), 12570-12575. DOI: https://doi.org/10.1073/pnas.2135471100.</w:t>
      </w:r>
    </w:p>
    <w:p w14:paraId="15D8BA50" w14:textId="5471E4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(28) Sutto, L., &amp; Gervasio, F. L. Effects of oncogenic mutations on the conformational free-energy landscape of EGFR kinase. </w:t>
      </w:r>
      <w:r w:rsidRPr="00CC4588">
        <w:rPr>
          <w:rFonts w:ascii="Times New Roman" w:hAnsi="Times New Roman" w:cs="Times New Roman"/>
          <w:i/>
          <w:noProof/>
          <w:sz w:val="24"/>
          <w:szCs w:val="24"/>
        </w:rPr>
        <w:t xml:space="preserve">. Proceedings of the National Academy of Sciences </w:t>
      </w:r>
      <w:r w:rsidRPr="00CC4588">
        <w:rPr>
          <w:rFonts w:ascii="Times New Roman" w:hAnsi="Times New Roman" w:cs="Times New Roman"/>
          <w:b/>
          <w:noProof/>
          <w:sz w:val="24"/>
          <w:szCs w:val="24"/>
        </w:rPr>
        <w:t>2013</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110</w:t>
      </w:r>
      <w:r w:rsidRPr="00CC4588">
        <w:rPr>
          <w:rFonts w:ascii="Times New Roman" w:hAnsi="Times New Roman" w:cs="Times New Roman"/>
          <w:noProof/>
          <w:sz w:val="24"/>
          <w:szCs w:val="24"/>
        </w:rPr>
        <w:t xml:space="preserve"> (26), 10616-10621. DOI: https://doi.org/10.1073/pnas.1221953110.</w:t>
      </w:r>
    </w:p>
    <w:p w14:paraId="4802AAE2" w14:textId="419CD138"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(29) Cossins, B. P., Hosseini, A., &amp; McCammon, J. A. . Conformational ensemble analysis of protein-ligand binding. </w:t>
      </w:r>
      <w:r w:rsidRPr="00CC4588">
        <w:rPr>
          <w:rFonts w:ascii="Times New Roman" w:hAnsi="Times New Roman" w:cs="Times New Roman"/>
          <w:i/>
          <w:noProof/>
          <w:sz w:val="24"/>
          <w:szCs w:val="24"/>
        </w:rPr>
        <w:t xml:space="preserve">. Journal of Chemical Theory and Computation </w:t>
      </w:r>
      <w:r w:rsidRPr="00CC4588">
        <w:rPr>
          <w:rFonts w:ascii="Times New Roman" w:hAnsi="Times New Roman" w:cs="Times New Roman"/>
          <w:b/>
          <w:noProof/>
          <w:sz w:val="24"/>
          <w:szCs w:val="24"/>
        </w:rPr>
        <w:t>2006</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2</w:t>
      </w:r>
      <w:r w:rsidRPr="00CC4588">
        <w:rPr>
          <w:rFonts w:ascii="Times New Roman" w:hAnsi="Times New Roman" w:cs="Times New Roman"/>
          <w:noProof/>
          <w:sz w:val="24"/>
          <w:szCs w:val="24"/>
        </w:rPr>
        <w:t xml:space="preserve"> (5), 1382–1392. DOI: https://doi.org/10.1021/ct060062k.</w:t>
      </w:r>
    </w:p>
    <w:p w14:paraId="5F1E0F56" w14:textId="28939CBB"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(30) Kumari, R., Kumar, R., Open Source Drug Discovery Consortium, &amp; Lynn, A. _mmpbsa—A GROMACS tool for high-throughput MM-PBSA calculations. </w:t>
      </w:r>
      <w:r w:rsidRPr="00CC4588">
        <w:rPr>
          <w:rFonts w:ascii="Times New Roman" w:hAnsi="Times New Roman" w:cs="Times New Roman"/>
          <w:i/>
          <w:noProof/>
          <w:sz w:val="24"/>
          <w:szCs w:val="24"/>
        </w:rPr>
        <w:t xml:space="preserve">Journal of Chemical Information and Modeling </w:t>
      </w:r>
      <w:r w:rsidRPr="00CC4588">
        <w:rPr>
          <w:rFonts w:ascii="Times New Roman" w:hAnsi="Times New Roman" w:cs="Times New Roman"/>
          <w:b/>
          <w:noProof/>
          <w:sz w:val="24"/>
          <w:szCs w:val="24"/>
        </w:rPr>
        <w:t>2014</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54</w:t>
      </w:r>
      <w:r w:rsidRPr="00CC4588">
        <w:rPr>
          <w:rFonts w:ascii="Times New Roman" w:hAnsi="Times New Roman" w:cs="Times New Roman"/>
          <w:noProof/>
          <w:sz w:val="24"/>
          <w:szCs w:val="24"/>
        </w:rPr>
        <w:t xml:space="preserve"> (7), 1951–1962. DOI: https://doi.org/10.1021/ci500020m.</w:t>
      </w:r>
    </w:p>
    <w:p w14:paraId="3FCF1D7D"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(31) Muangpaisan, W., Mathews, A., Hori, H., &amp; Seidel, D. A Systematic Review of the Worldwide Prevalence and Incidence of Parkinson’s Disease. </w:t>
      </w:r>
      <w:r w:rsidRPr="00CC4588">
        <w:rPr>
          <w:rFonts w:ascii="Times New Roman" w:hAnsi="Times New Roman" w:cs="Times New Roman"/>
          <w:b/>
          <w:noProof/>
          <w:sz w:val="24"/>
          <w:szCs w:val="24"/>
        </w:rPr>
        <w:t>2011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94</w:t>
      </w:r>
      <w:r w:rsidRPr="00CC4588">
        <w:rPr>
          <w:rFonts w:ascii="Times New Roman" w:hAnsi="Times New Roman" w:cs="Times New Roman"/>
          <w:noProof/>
          <w:sz w:val="24"/>
          <w:szCs w:val="24"/>
        </w:rPr>
        <w:t xml:space="preserve"> (6).</w:t>
      </w:r>
    </w:p>
    <w:p w14:paraId="78A2FBB2" w14:textId="0B637E56"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(32) Lim, E. W., Aarsland, D., Ffytche, D., Taddei, R. N., van Wamelen, D. J., Wan, Y.-M., Tan, E. K., &amp; Chaudhuri, K. R. Amyloid-β and Parkinson’s disease. </w:t>
      </w:r>
      <w:r w:rsidRPr="00CC4588">
        <w:rPr>
          <w:rFonts w:ascii="Times New Roman" w:hAnsi="Times New Roman" w:cs="Times New Roman"/>
          <w:b/>
          <w:noProof/>
          <w:sz w:val="24"/>
          <w:szCs w:val="24"/>
        </w:rPr>
        <w:t>2018</w:t>
      </w:r>
      <w:r w:rsidRPr="00CC4588">
        <w:rPr>
          <w:rFonts w:ascii="Times New Roman" w:hAnsi="Times New Roman" w:cs="Times New Roman"/>
          <w:noProof/>
          <w:sz w:val="24"/>
          <w:szCs w:val="24"/>
        </w:rPr>
        <w:t>. DOI: http://doi.org/10.1007/s00415-018-9100-8.</w:t>
      </w:r>
    </w:p>
    <w:p w14:paraId="6A90C7E2"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(33) D'Amelio, M.; Cavallucci, V.; Cecconi, F. Neuronal caspase-3 signaling: not only cell death. </w:t>
      </w:r>
      <w:r w:rsidRPr="00CC4588">
        <w:rPr>
          <w:rFonts w:ascii="Times New Roman" w:hAnsi="Times New Roman" w:cs="Times New Roman"/>
          <w:i/>
          <w:noProof/>
          <w:sz w:val="24"/>
          <w:szCs w:val="24"/>
        </w:rPr>
        <w:t xml:space="preserve">Cell Death &amp;amp; Differentiation </w:t>
      </w:r>
      <w:r w:rsidRPr="00CC4588">
        <w:rPr>
          <w:rFonts w:ascii="Times New Roman" w:hAnsi="Times New Roman" w:cs="Times New Roman"/>
          <w:b/>
          <w:noProof/>
          <w:sz w:val="24"/>
          <w:szCs w:val="24"/>
        </w:rPr>
        <w:t>2010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17</w:t>
      </w:r>
      <w:r w:rsidRPr="00CC4588">
        <w:rPr>
          <w:rFonts w:ascii="Times New Roman" w:hAnsi="Times New Roman" w:cs="Times New Roman"/>
          <w:noProof/>
          <w:sz w:val="24"/>
          <w:szCs w:val="24"/>
        </w:rPr>
        <w:t xml:space="preserve"> (7), 1104-1114. DOI: 10.1038/cdd.2009.180.</w:t>
      </w:r>
    </w:p>
    <w:p w14:paraId="7B54674A"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(34) Zhang, Y.; Guo, H.; Guo, X.; Ge, D.; Shi, Y.; Lu, X.; Lu, J.; Chen, J.; Ding, F.; Zhang, Q. Involvement of Akt/mTOR in the Neurotoxicity of Rotenone-Induced Parkinson’s Disease Models. </w:t>
      </w:r>
      <w:r w:rsidRPr="00CC4588">
        <w:rPr>
          <w:rFonts w:ascii="Times New Roman" w:hAnsi="Times New Roman" w:cs="Times New Roman"/>
          <w:i/>
          <w:noProof/>
          <w:sz w:val="24"/>
          <w:szCs w:val="24"/>
        </w:rPr>
        <w:t xml:space="preserve">International Journal of Environmental Research and Public Health </w:t>
      </w:r>
      <w:r w:rsidRPr="00CC4588">
        <w:rPr>
          <w:rFonts w:ascii="Times New Roman" w:hAnsi="Times New Roman" w:cs="Times New Roman"/>
          <w:b/>
          <w:noProof/>
          <w:sz w:val="24"/>
          <w:szCs w:val="24"/>
        </w:rPr>
        <w:t>2019</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16</w:t>
      </w:r>
      <w:r w:rsidRPr="00CC4588">
        <w:rPr>
          <w:rFonts w:ascii="Times New Roman" w:hAnsi="Times New Roman" w:cs="Times New Roman"/>
          <w:noProof/>
          <w:sz w:val="24"/>
          <w:szCs w:val="24"/>
        </w:rPr>
        <w:t xml:space="preserve"> (20), 3811. DOI: 10.3390/ijerph16203811.</w:t>
      </w:r>
    </w:p>
    <w:p w14:paraId="0490177C"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(35) Sundermann, E. E.; Maki, P. M.; Bishop, J. R. A review of estrogen receptor α gene (ESR1) polymorphisms, mood, and cognition. </w:t>
      </w:r>
      <w:r w:rsidRPr="00CC4588">
        <w:rPr>
          <w:rFonts w:ascii="Times New Roman" w:hAnsi="Times New Roman" w:cs="Times New Roman"/>
          <w:i/>
          <w:noProof/>
          <w:sz w:val="24"/>
          <w:szCs w:val="24"/>
        </w:rPr>
        <w:t xml:space="preserve">Menopause </w:t>
      </w:r>
      <w:r w:rsidRPr="00CC4588">
        <w:rPr>
          <w:rFonts w:ascii="Times New Roman" w:hAnsi="Times New Roman" w:cs="Times New Roman"/>
          <w:b/>
          <w:noProof/>
          <w:sz w:val="24"/>
          <w:szCs w:val="24"/>
        </w:rPr>
        <w:t>2010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17</w:t>
      </w:r>
      <w:r w:rsidRPr="00CC4588">
        <w:rPr>
          <w:rFonts w:ascii="Times New Roman" w:hAnsi="Times New Roman" w:cs="Times New Roman"/>
          <w:noProof/>
          <w:sz w:val="24"/>
          <w:szCs w:val="24"/>
        </w:rPr>
        <w:t xml:space="preserve"> (4), 874-886. DOI: 10.1097/gme.0b013e3181df4a19.</w:t>
      </w:r>
    </w:p>
    <w:p w14:paraId="17A4C57E"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(36) Jin, J.; Xue, L.; Bai, X.; Zhang, X.; Tian, Q.; Xie, A. Association between epidermal growth factor receptor gene polymorphisms and susceptibility to Parkinson's disease. </w:t>
      </w:r>
      <w:r w:rsidRPr="00CC4588">
        <w:rPr>
          <w:rFonts w:ascii="Times New Roman" w:hAnsi="Times New Roman" w:cs="Times New Roman"/>
          <w:i/>
          <w:noProof/>
          <w:sz w:val="24"/>
          <w:szCs w:val="24"/>
        </w:rPr>
        <w:t xml:space="preserve">Neurosci Lett </w:t>
      </w:r>
      <w:r w:rsidRPr="00CC4588">
        <w:rPr>
          <w:rFonts w:ascii="Times New Roman" w:hAnsi="Times New Roman" w:cs="Times New Roman"/>
          <w:b/>
          <w:noProof/>
          <w:sz w:val="24"/>
          <w:szCs w:val="24"/>
        </w:rPr>
        <w:t>2020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736</w:t>
      </w:r>
      <w:r w:rsidRPr="00CC4588">
        <w:rPr>
          <w:rFonts w:ascii="Times New Roman" w:hAnsi="Times New Roman" w:cs="Times New Roman"/>
          <w:noProof/>
          <w:sz w:val="24"/>
          <w:szCs w:val="24"/>
        </w:rPr>
        <w:t>, 135273. DOI: 10.1016/j.neulet.2020.135273.</w:t>
      </w:r>
    </w:p>
    <w:p w14:paraId="758E5CEE" w14:textId="67D02E8D"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(37) Huang, Y. Y., Lin, S. J., Chiang, W. Y., Chang, Y. T., Yang, C. C., Liao, C. Y., Chang, Y. L., Lin, C. H., &amp; Teng, S. C. . EGFR phosphorylates DNAJB1 to suppress α-synuclein aggregation in Parkinson’s disease. </w:t>
      </w:r>
      <w:r w:rsidRPr="00CC4588">
        <w:rPr>
          <w:rFonts w:ascii="Times New Roman" w:hAnsi="Times New Roman" w:cs="Times New Roman"/>
          <w:i/>
          <w:noProof/>
          <w:sz w:val="24"/>
          <w:szCs w:val="24"/>
        </w:rPr>
        <w:t xml:space="preserve">Npj Parkinson’s Disease 2025 11:1 </w:t>
      </w:r>
      <w:r w:rsidRPr="00CC4588">
        <w:rPr>
          <w:rFonts w:ascii="Times New Roman" w:hAnsi="Times New Roman" w:cs="Times New Roman"/>
          <w:b/>
          <w:noProof/>
          <w:sz w:val="24"/>
          <w:szCs w:val="24"/>
        </w:rPr>
        <w:t>2025</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11</w:t>
      </w:r>
      <w:r w:rsidRPr="00CC4588">
        <w:rPr>
          <w:rFonts w:ascii="Times New Roman" w:hAnsi="Times New Roman" w:cs="Times New Roman"/>
          <w:noProof/>
          <w:sz w:val="24"/>
          <w:szCs w:val="24"/>
        </w:rPr>
        <w:t>, 1-16. DOI: https://doi.org/10.1038/s41531-025-01006-y.</w:t>
      </w:r>
    </w:p>
    <w:p w14:paraId="3F860339" w14:textId="3E8B909B"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(38) Saunders-Pullman, R. Estrogens and Parkinson disease: Neuroprotective, symptomatic, neither, or both? . </w:t>
      </w:r>
      <w:r w:rsidRPr="00CC4588">
        <w:rPr>
          <w:rFonts w:ascii="Times New Roman" w:hAnsi="Times New Roman" w:cs="Times New Roman"/>
          <w:i/>
          <w:noProof/>
          <w:sz w:val="24"/>
          <w:szCs w:val="24"/>
        </w:rPr>
        <w:t xml:space="preserve">Endocrine </w:t>
      </w:r>
      <w:r w:rsidRPr="00CC4588">
        <w:rPr>
          <w:rFonts w:ascii="Times New Roman" w:hAnsi="Times New Roman" w:cs="Times New Roman"/>
          <w:b/>
          <w:noProof/>
          <w:sz w:val="24"/>
          <w:szCs w:val="24"/>
        </w:rPr>
        <w:t>2003</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21</w:t>
      </w:r>
      <w:r w:rsidRPr="00CC4588">
        <w:rPr>
          <w:rFonts w:ascii="Times New Roman" w:hAnsi="Times New Roman" w:cs="Times New Roman"/>
          <w:noProof/>
          <w:sz w:val="24"/>
          <w:szCs w:val="24"/>
        </w:rPr>
        <w:t xml:space="preserve"> (1), 81-87. DOI: https://doi.org/10.1385/ENDO:21:1:81.</w:t>
      </w:r>
    </w:p>
    <w:p w14:paraId="6E5DB934" w14:textId="0060D62B"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(39) Huang, Y., Sun, L., Zhu, S., Xu, L., Liu, S., Yuan, C., Guo, Y., &amp; Wang, X. . Neuroprotection Against Parkinson’s Disease Through the Activation of Akt/GSK3β Signaling Pathway by Tovophyllin A. </w:t>
      </w:r>
      <w:r w:rsidRPr="00CC4588">
        <w:rPr>
          <w:rFonts w:ascii="Times New Roman" w:hAnsi="Times New Roman" w:cs="Times New Roman"/>
          <w:i/>
          <w:noProof/>
          <w:sz w:val="24"/>
          <w:szCs w:val="24"/>
        </w:rPr>
        <w:t xml:space="preserve">Frontiers in Neuroscience </w:t>
      </w:r>
      <w:r w:rsidRPr="00CC4588">
        <w:rPr>
          <w:rFonts w:ascii="Times New Roman" w:hAnsi="Times New Roman" w:cs="Times New Roman"/>
          <w:b/>
          <w:noProof/>
          <w:sz w:val="24"/>
          <w:szCs w:val="24"/>
        </w:rPr>
        <w:t>2020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14</w:t>
      </w:r>
      <w:r w:rsidRPr="00CC4588">
        <w:rPr>
          <w:rFonts w:ascii="Times New Roman" w:hAnsi="Times New Roman" w:cs="Times New Roman"/>
          <w:noProof/>
          <w:sz w:val="24"/>
          <w:szCs w:val="24"/>
        </w:rPr>
        <w:t>, 723. DOI: https://doi.org/10.3389/FNINS.2020.00723.</w:t>
      </w:r>
    </w:p>
    <w:p w14:paraId="2E3747ED" w14:textId="72F18A5E"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(40) Yang, H., Wang, L., Zang, C., Wang, Y., Shang, J., Zhang, Z., Liu, H., Bao, X., Wang, X., &amp; Zhang, D. . Src Inhibition Attenuates Neuroinflammation and Protects Dopaminergic Neurons in Parkinson’s Disease Models. </w:t>
      </w:r>
      <w:r w:rsidRPr="00CC4588">
        <w:rPr>
          <w:rFonts w:ascii="Times New Roman" w:hAnsi="Times New Roman" w:cs="Times New Roman"/>
          <w:i/>
          <w:noProof/>
          <w:sz w:val="24"/>
          <w:szCs w:val="24"/>
        </w:rPr>
        <w:t xml:space="preserve">Frontiers in Neuroscience </w:t>
      </w:r>
      <w:r w:rsidRPr="00CC4588">
        <w:rPr>
          <w:rFonts w:ascii="Times New Roman" w:hAnsi="Times New Roman" w:cs="Times New Roman"/>
          <w:b/>
          <w:noProof/>
          <w:sz w:val="24"/>
          <w:szCs w:val="24"/>
        </w:rPr>
        <w:t>2020</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14</w:t>
      </w:r>
      <w:r w:rsidRPr="00CC4588">
        <w:rPr>
          <w:rFonts w:ascii="Times New Roman" w:hAnsi="Times New Roman" w:cs="Times New Roman"/>
          <w:noProof/>
          <w:sz w:val="24"/>
          <w:szCs w:val="24"/>
        </w:rPr>
        <w:t>, 45. DOI: https://doi.org/10.3389/FNINS.2020.00045/FULL.</w:t>
      </w:r>
    </w:p>
    <w:p w14:paraId="4DDCE5FE" w14:textId="6B2FCCDC"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(41) Dhawan, G., &amp; Combs, C. K.  . Inhibition of Src kinase activity attenuates amyloid associated microgliosis in a murine model of Alzheimer’s disease. </w:t>
      </w:r>
      <w:r w:rsidRPr="00CC4588">
        <w:rPr>
          <w:rFonts w:ascii="Times New Roman" w:hAnsi="Times New Roman" w:cs="Times New Roman"/>
          <w:i/>
          <w:noProof/>
          <w:sz w:val="24"/>
          <w:szCs w:val="24"/>
        </w:rPr>
        <w:t xml:space="preserve">Journal of Neuroinflammation </w:t>
      </w:r>
      <w:r w:rsidRPr="00CC4588">
        <w:rPr>
          <w:rFonts w:ascii="Times New Roman" w:hAnsi="Times New Roman" w:cs="Times New Roman"/>
          <w:b/>
          <w:noProof/>
          <w:sz w:val="24"/>
          <w:szCs w:val="24"/>
        </w:rPr>
        <w:t>2012</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9</w:t>
      </w:r>
      <w:r w:rsidRPr="00CC4588">
        <w:rPr>
          <w:rFonts w:ascii="Times New Roman" w:hAnsi="Times New Roman" w:cs="Times New Roman"/>
          <w:noProof/>
          <w:sz w:val="24"/>
          <w:szCs w:val="24"/>
        </w:rPr>
        <w:t>. DOI: https://doi.org/10.1186/1742-2094-9-117.</w:t>
      </w:r>
    </w:p>
    <w:p w14:paraId="58FECA0B" w14:textId="70180F5D"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(42) Ardah, M. T., Eid, N., Kitada, T., &amp; Haque, M. E.). Ellagic acid prevents α‐synuclein aggregation and protects sh‐sy5y cells from aggregated α‐synuclein‐induced toxicity via suppression of apoptosis and activation of autophagy. </w:t>
      </w:r>
      <w:r w:rsidRPr="00CC4588">
        <w:rPr>
          <w:rFonts w:ascii="Times New Roman" w:hAnsi="Times New Roman" w:cs="Times New Roman"/>
          <w:i/>
          <w:noProof/>
          <w:sz w:val="24"/>
          <w:szCs w:val="24"/>
        </w:rPr>
        <w:t xml:space="preserve">International Journal of Molecular Sciences </w:t>
      </w:r>
      <w:r w:rsidRPr="00CC4588">
        <w:rPr>
          <w:rFonts w:ascii="Times New Roman" w:hAnsi="Times New Roman" w:cs="Times New Roman"/>
          <w:b/>
          <w:noProof/>
          <w:sz w:val="24"/>
          <w:szCs w:val="24"/>
        </w:rPr>
        <w:t>2021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22</w:t>
      </w:r>
      <w:r w:rsidRPr="00CC4588">
        <w:rPr>
          <w:rFonts w:ascii="Times New Roman" w:hAnsi="Times New Roman" w:cs="Times New Roman"/>
          <w:noProof/>
          <w:sz w:val="24"/>
          <w:szCs w:val="24"/>
        </w:rPr>
        <w:t xml:space="preserve"> (24). DOI: https://doi.org/10.3390/IJMS222413398.</w:t>
      </w:r>
    </w:p>
    <w:p w14:paraId="3535E2D1" w14:textId="77777777" w:rsidR="000C3006" w:rsidRPr="00CC4588" w:rsidRDefault="000C3006" w:rsidP="00CC4588">
      <w:pPr>
        <w:pStyle w:val="EndNoteBibliography"/>
        <w:spacing w:after="0"/>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(43) Baloch, Q. B.; Shah, S. N.; Iqbal, N.; Sheeraz, M.; Asadullah, M.; Mahar, S.; Khan, A. U. Impact of tourism development upon environmental sustainability: a suggested framework for sustainable ecotourism. </w:t>
      </w:r>
      <w:r w:rsidRPr="00CC4588">
        <w:rPr>
          <w:rFonts w:ascii="Times New Roman" w:hAnsi="Times New Roman" w:cs="Times New Roman"/>
          <w:i/>
          <w:noProof/>
          <w:sz w:val="24"/>
          <w:szCs w:val="24"/>
        </w:rPr>
        <w:t xml:space="preserve">Environ Sci Pollut Res Int </w:t>
      </w:r>
      <w:r w:rsidRPr="00CC4588">
        <w:rPr>
          <w:rFonts w:ascii="Times New Roman" w:hAnsi="Times New Roman" w:cs="Times New Roman"/>
          <w:b/>
          <w:noProof/>
          <w:sz w:val="24"/>
          <w:szCs w:val="24"/>
        </w:rPr>
        <w:t>2023</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30</w:t>
      </w:r>
      <w:r w:rsidRPr="00CC4588">
        <w:rPr>
          <w:rFonts w:ascii="Times New Roman" w:hAnsi="Times New Roman" w:cs="Times New Roman"/>
          <w:noProof/>
          <w:sz w:val="24"/>
          <w:szCs w:val="24"/>
        </w:rPr>
        <w:t xml:space="preserve"> (3), 5917-5930. DOI: 10.1007/s11356-022-22496-w.</w:t>
      </w:r>
    </w:p>
    <w:p w14:paraId="2A60B550" w14:textId="66F1F49F" w:rsidR="000C3006" w:rsidRPr="00CC4588" w:rsidRDefault="000C3006" w:rsidP="00CC4588">
      <w:pPr>
        <w:pStyle w:val="EndNoteBibliography"/>
        <w:jc w:val="both"/>
        <w:rPr>
          <w:rFonts w:ascii="Times New Roman" w:hAnsi="Times New Roman" w:cs="Times New Roman"/>
          <w:noProof/>
          <w:sz w:val="24"/>
          <w:szCs w:val="24"/>
        </w:rPr>
      </w:pPr>
      <w:r w:rsidRPr="00CC4588">
        <w:rPr>
          <w:rFonts w:ascii="Times New Roman" w:hAnsi="Times New Roman" w:cs="Times New Roman"/>
          <w:noProof/>
          <w:sz w:val="24"/>
          <w:szCs w:val="24"/>
        </w:rPr>
        <w:t xml:space="preserve">(44) Kumar, S., Kumar, R., Kumari, M., Kumari, R., Saha, S., Bhavesh, N. S., &amp; Maiti, T. K. Ellagic Acid Inhibits α-Synuclein Aggregation at Multiple Stages and Reduces Its Cytotoxicity. </w:t>
      </w:r>
      <w:r w:rsidRPr="00CC4588">
        <w:rPr>
          <w:rFonts w:ascii="Times New Roman" w:hAnsi="Times New Roman" w:cs="Times New Roman"/>
          <w:i/>
          <w:noProof/>
          <w:sz w:val="24"/>
          <w:szCs w:val="24"/>
        </w:rPr>
        <w:t xml:space="preserve">ACS Chemical Neuroscience </w:t>
      </w:r>
      <w:r w:rsidRPr="00CC4588">
        <w:rPr>
          <w:rFonts w:ascii="Times New Roman" w:hAnsi="Times New Roman" w:cs="Times New Roman"/>
          <w:b/>
          <w:noProof/>
          <w:sz w:val="24"/>
          <w:szCs w:val="24"/>
        </w:rPr>
        <w:t>2021</w:t>
      </w:r>
      <w:r w:rsidRPr="00CC4588">
        <w:rPr>
          <w:rFonts w:ascii="Times New Roman" w:hAnsi="Times New Roman" w:cs="Times New Roman"/>
          <w:noProof/>
          <w:sz w:val="24"/>
          <w:szCs w:val="24"/>
        </w:rPr>
        <w:t xml:space="preserve">, </w:t>
      </w:r>
      <w:r w:rsidRPr="00CC4588">
        <w:rPr>
          <w:rFonts w:ascii="Times New Roman" w:hAnsi="Times New Roman" w:cs="Times New Roman"/>
          <w:i/>
          <w:noProof/>
          <w:sz w:val="24"/>
          <w:szCs w:val="24"/>
        </w:rPr>
        <w:t>12</w:t>
      </w:r>
      <w:r w:rsidRPr="00CC4588">
        <w:rPr>
          <w:rFonts w:ascii="Times New Roman" w:hAnsi="Times New Roman" w:cs="Times New Roman"/>
          <w:noProof/>
          <w:sz w:val="24"/>
          <w:szCs w:val="24"/>
        </w:rPr>
        <w:t xml:space="preserve"> (11), 1919-1930. DOI: https://doi.org/10.1021/acschemneuro.1c00001.</w:t>
      </w:r>
    </w:p>
    <w:p w14:paraId="14408064" w14:textId="31B29090" w:rsidR="00605EBD" w:rsidRPr="00852DDC" w:rsidRDefault="00605EBD" w:rsidP="00CC4588">
      <w:pPr>
        <w:spacing w:after="0" w:line="240" w:lineRule="auto"/>
        <w:jc w:val="both"/>
        <w:rPr>
          <w:rFonts w:ascii="Times New Roman" w:hAnsi="Times New Roman" w:cs="Times New Roman"/>
          <w:sz w:val="24"/>
          <w:szCs w:val="24"/>
        </w:rPr>
      </w:pPr>
      <w:r w:rsidRPr="00CC4588">
        <w:rPr>
          <w:rFonts w:ascii="Times New Roman" w:hAnsi="Times New Roman" w:cs="Times New Roman"/>
          <w:sz w:val="24"/>
          <w:szCs w:val="24"/>
        </w:rPr>
        <w:fldChar w:fldCharType="end"/>
      </w:r>
    </w:p>
    <w:p w14:paraId="098A4636" w14:textId="77777777" w:rsidR="00605EBD" w:rsidRPr="00852DDC" w:rsidRDefault="00605EBD" w:rsidP="00605EBD">
      <w:pPr>
        <w:spacing w:after="0" w:line="240" w:lineRule="auto"/>
        <w:rPr>
          <w:rFonts w:ascii="Times New Roman" w:hAnsi="Times New Roman" w:cs="Times New Roman"/>
          <w:sz w:val="24"/>
          <w:szCs w:val="24"/>
        </w:rPr>
      </w:pPr>
    </w:p>
    <w:p w14:paraId="18B43CD8" w14:textId="77777777" w:rsidR="00605EBD" w:rsidRPr="00852DDC" w:rsidRDefault="00605EBD" w:rsidP="00605EBD">
      <w:pPr>
        <w:autoSpaceDE w:val="0"/>
        <w:autoSpaceDN w:val="0"/>
        <w:spacing w:after="0" w:line="240" w:lineRule="auto"/>
        <w:rPr>
          <w:rFonts w:ascii="Times New Roman" w:hAnsi="Times New Roman" w:cs="Times New Roman"/>
          <w:sz w:val="24"/>
          <w:szCs w:val="24"/>
        </w:rPr>
      </w:pPr>
    </w:p>
    <w:p w14:paraId="558ED8EC" w14:textId="77777777" w:rsidR="00605EBD" w:rsidRDefault="00605EBD" w:rsidP="00605EBD"/>
    <w:p w14:paraId="6424C740" w14:textId="77777777" w:rsidR="00605EBD" w:rsidRDefault="00605EBD" w:rsidP="00605EBD">
      <w:pPr>
        <w:rPr>
          <w:rFonts w:ascii="Times New Roman" w:hAnsi="Times New Roman" w:cs="Times New Roman"/>
          <w:b/>
          <w:bCs/>
          <w:sz w:val="24"/>
          <w:szCs w:val="24"/>
        </w:rPr>
      </w:pPr>
      <w:r w:rsidRPr="008F75E1">
        <w:rPr>
          <w:rFonts w:ascii="Times New Roman" w:hAnsi="Times New Roman" w:cs="Times New Roman"/>
          <w:b/>
          <w:bCs/>
          <w:sz w:val="24"/>
          <w:szCs w:val="24"/>
        </w:rPr>
        <w:t>For Table of Contents Only</w:t>
      </w:r>
    </w:p>
    <w:p w14:paraId="71FCC334" w14:textId="77777777" w:rsidR="00605EBD" w:rsidRPr="008F75E1" w:rsidRDefault="00605EBD" w:rsidP="00605EBD">
      <w:pPr>
        <w:rPr>
          <w:rFonts w:ascii="Times New Roman" w:hAnsi="Times New Roman" w:cs="Times New Roman"/>
          <w:b/>
          <w:bCs/>
          <w:sz w:val="24"/>
          <w:szCs w:val="24"/>
        </w:rPr>
      </w:pPr>
      <w:r>
        <w:rPr>
          <w:noProof/>
        </w:rPr>
        <w:drawing>
          <wp:inline distT="0" distB="0" distL="0" distR="0" wp14:anchorId="388F3A20" wp14:editId="69B5A6D4">
            <wp:extent cx="5943600" cy="3164205"/>
            <wp:effectExtent l="0" t="0" r="0" b="0"/>
            <wp:docPr id="999241756" name="Picture 2" descr="A diagram of a protein comp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41756" name="Picture 2" descr="A diagram of a protein compoun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3164205"/>
                    </a:xfrm>
                    <a:prstGeom prst="rect">
                      <a:avLst/>
                    </a:prstGeom>
                    <a:noFill/>
                    <a:ln>
                      <a:noFill/>
                    </a:ln>
                  </pic:spPr>
                </pic:pic>
              </a:graphicData>
            </a:graphic>
          </wp:inline>
        </w:drawing>
      </w:r>
    </w:p>
    <w:p w14:paraId="01909242" w14:textId="70187880" w:rsidR="00A73976" w:rsidRDefault="00A73976"/>
    <w:sectPr w:rsidR="00A7397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F3B68" w14:textId="77777777" w:rsidR="00CD7FFA" w:rsidRDefault="00CD7FFA">
      <w:pPr>
        <w:spacing w:after="0" w:line="240" w:lineRule="auto"/>
      </w:pPr>
      <w:r>
        <w:separator/>
      </w:r>
    </w:p>
  </w:endnote>
  <w:endnote w:type="continuationSeparator" w:id="0">
    <w:p w14:paraId="2F1CFC86" w14:textId="77777777" w:rsidR="00CD7FFA" w:rsidRDefault="00CD7F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1C59E" w14:textId="77777777" w:rsidR="00CD7FFA" w:rsidRDefault="00CD7FFA">
      <w:pPr>
        <w:spacing w:after="0" w:line="240" w:lineRule="auto"/>
      </w:pPr>
      <w:r>
        <w:separator/>
      </w:r>
    </w:p>
  </w:footnote>
  <w:footnote w:type="continuationSeparator" w:id="0">
    <w:p w14:paraId="43950C48" w14:textId="77777777" w:rsidR="00CD7FFA" w:rsidRDefault="00CD7FF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CS Chemical Biology &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f0p2xfske5tetew9t8vxfreatd9we2w259x&quot;&gt;My EndNote Library&lt;record-ids&gt;&lt;item&gt;16&lt;/item&gt;&lt;item&gt;30&lt;/item&gt;&lt;item&gt;105&lt;/item&gt;&lt;item&gt;106&lt;/item&gt;&lt;item&gt;107&lt;/item&gt;&lt;item&gt;109&lt;/item&gt;&lt;item&gt;112&lt;/item&gt;&lt;item&gt;113&lt;/item&gt;&lt;item&gt;114&lt;/item&gt;&lt;item&gt;116&lt;/item&gt;&lt;item&gt;121&lt;/item&gt;&lt;item&gt;124&lt;/item&gt;&lt;item&gt;129&lt;/item&gt;&lt;item&gt;141&lt;/item&gt;&lt;item&gt;142&lt;/item&gt;&lt;item&gt;144&lt;/item&gt;&lt;item&gt;145&lt;/item&gt;&lt;item&gt;151&lt;/item&gt;&lt;item&gt;154&lt;/item&gt;&lt;item&gt;156&lt;/item&gt;&lt;item&gt;159&lt;/item&gt;&lt;item&gt;160&lt;/item&gt;&lt;item&gt;163&lt;/item&gt;&lt;item&gt;184&lt;/item&gt;&lt;item&gt;185&lt;/item&gt;&lt;item&gt;186&lt;/item&gt;&lt;item&gt;187&lt;/item&gt;&lt;item&gt;190&lt;/item&gt;&lt;item&gt;192&lt;/item&gt;&lt;item&gt;194&lt;/item&gt;&lt;item&gt;195&lt;/item&gt;&lt;item&gt;196&lt;/item&gt;&lt;item&gt;197&lt;/item&gt;&lt;item&gt;198&lt;/item&gt;&lt;item&gt;199&lt;/item&gt;&lt;item&gt;200&lt;/item&gt;&lt;item&gt;202&lt;/item&gt;&lt;item&gt;203&lt;/item&gt;&lt;item&gt;204&lt;/item&gt;&lt;item&gt;205&lt;/item&gt;&lt;item&gt;206&lt;/item&gt;&lt;item&gt;207&lt;/item&gt;&lt;item&gt;209&lt;/item&gt;&lt;item&gt;212&lt;/item&gt;&lt;item&gt;214&lt;/item&gt;&lt;/record-ids&gt;&lt;/item&gt;&lt;/Libraries&gt;"/>
  </w:docVars>
  <w:rsids>
    <w:rsidRoot w:val="00605EBD"/>
    <w:rsid w:val="000C3006"/>
    <w:rsid w:val="00605EBD"/>
    <w:rsid w:val="007554A4"/>
    <w:rsid w:val="00902FCB"/>
    <w:rsid w:val="00A73976"/>
    <w:rsid w:val="00A83155"/>
    <w:rsid w:val="00C70528"/>
    <w:rsid w:val="00CC4588"/>
    <w:rsid w:val="00CD7FFA"/>
    <w:rsid w:val="00E42A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34CEE0"/>
  <w15:chartTrackingRefBased/>
  <w15:docId w15:val="{9BB38BE5-0262-4D5E-BFE9-005753418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
    <w:name w:val="EndNote Bibliography"/>
    <w:basedOn w:val="Normal"/>
    <w:link w:val="EndNoteBibliographyChar"/>
    <w:rsid w:val="00605EBD"/>
    <w:pPr>
      <w:spacing w:line="240" w:lineRule="auto"/>
    </w:pPr>
    <w:rPr>
      <w:rFonts w:ascii="Calibri" w:hAnsi="Calibri" w:cs="Calibri"/>
    </w:rPr>
  </w:style>
  <w:style w:type="character" w:customStyle="1" w:styleId="EndNoteBibliographyChar">
    <w:name w:val="EndNote Bibliography Char"/>
    <w:basedOn w:val="DefaultParagraphFont"/>
    <w:link w:val="EndNoteBibliography"/>
    <w:rsid w:val="00605EBD"/>
    <w:rPr>
      <w:rFonts w:ascii="Calibri" w:hAnsi="Calibri" w:cs="Calibri"/>
    </w:rPr>
  </w:style>
  <w:style w:type="paragraph" w:customStyle="1" w:styleId="EndNoteBibliographyTitle">
    <w:name w:val="EndNote Bibliography Title"/>
    <w:basedOn w:val="Normal"/>
    <w:link w:val="EndNoteBibliographyTitleChar"/>
    <w:rsid w:val="00605EBD"/>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605EBD"/>
    <w:rPr>
      <w:rFonts w:ascii="Calibri" w:hAnsi="Calibri" w:cs="Calibri"/>
      <w:noProof/>
    </w:rPr>
  </w:style>
  <w:style w:type="character" w:styleId="Hyperlink">
    <w:name w:val="Hyperlink"/>
    <w:basedOn w:val="DefaultParagraphFont"/>
    <w:uiPriority w:val="99"/>
    <w:unhideWhenUsed/>
    <w:qFormat/>
    <w:rsid w:val="00605EBD"/>
    <w:rPr>
      <w:color w:val="0000FF"/>
      <w:u w:val="single"/>
    </w:rPr>
  </w:style>
  <w:style w:type="character" w:styleId="Strong">
    <w:name w:val="Strong"/>
    <w:basedOn w:val="DefaultParagraphFont"/>
    <w:uiPriority w:val="22"/>
    <w:qFormat/>
    <w:rsid w:val="00605EBD"/>
    <w:rPr>
      <w:b/>
      <w:bCs/>
    </w:rPr>
  </w:style>
  <w:style w:type="paragraph" w:styleId="ListParagraph">
    <w:name w:val="List Paragraph"/>
    <w:basedOn w:val="Normal"/>
    <w:uiPriority w:val="34"/>
    <w:qFormat/>
    <w:rsid w:val="00605EBD"/>
    <w:pPr>
      <w:ind w:left="720"/>
      <w:contextualSpacing/>
    </w:pPr>
  </w:style>
  <w:style w:type="character" w:styleId="UnresolvedMention">
    <w:name w:val="Unresolved Mention"/>
    <w:basedOn w:val="DefaultParagraphFont"/>
    <w:uiPriority w:val="99"/>
    <w:semiHidden/>
    <w:unhideWhenUsed/>
    <w:rsid w:val="00E42A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ubchem.ncbi.nlm.nih.gov/"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image" Target="media/image19.tiff"/><Relationship Id="rId7" Type="http://schemas.openxmlformats.org/officeDocument/2006/relationships/hyperlink" Target="https://www.genecards.org/" TargetMode="External"/><Relationship Id="rId12" Type="http://schemas.openxmlformats.org/officeDocument/2006/relationships/hyperlink" Target="https://metascape.org/gp/index.html"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yperlink" Target="https://doi.org/10.5281/zenodo.16063183" TargetMode="Externa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string-db.org/" TargetMode="External"/><Relationship Id="rId24" Type="http://schemas.openxmlformats.org/officeDocument/2006/relationships/image" Target="media/image10.png"/><Relationship Id="rId32"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hyperlink" Target="https://bioinfogp.cnb.csic.es/tools/venny/" TargetMode="Externa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titch.embl.de/" TargetMode="External"/><Relationship Id="rId14" Type="http://schemas.openxmlformats.org/officeDocument/2006/relationships/hyperlink" Target="https://swissmodel.expasy.org/"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hyperlink" Target="http://www.swisstargetprediction.c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CDA98-CFD3-4225-B87D-BE80DB2C0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27</Pages>
  <Words>16928</Words>
  <Characters>96495</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jutsum amon 10729846</dc:creator>
  <cp:keywords/>
  <dc:description/>
  <cp:lastModifiedBy>Fosu, Kwadwo</cp:lastModifiedBy>
  <cp:revision>4</cp:revision>
  <dcterms:created xsi:type="dcterms:W3CDTF">2025-07-26T20:32:00Z</dcterms:created>
  <dcterms:modified xsi:type="dcterms:W3CDTF">2025-07-26T20:36:00Z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84dfaf02-3962-4f59-b33d-402512bee8be</vt:lpwstr>
  </property>
</Properties>
</file>